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0F1C4">
      <w:pPr>
        <w:jc w:val="center"/>
        <w:rPr>
          <w:rFonts w:hint="eastAsia" w:ascii="宋体" w:hAnsi="宋体"/>
          <w:b/>
          <w:bCs/>
          <w:color w:val="auto"/>
          <w:sz w:val="44"/>
          <w:szCs w:val="44"/>
          <w:lang w:val="en-US" w:eastAsia="zh-CN"/>
        </w:rPr>
      </w:pPr>
      <w:bookmarkStart w:id="0" w:name="_GoBack"/>
      <w:r>
        <w:rPr>
          <w:rFonts w:hint="eastAsia" w:ascii="宋体" w:hAnsi="宋体"/>
          <w:b/>
          <w:bCs/>
          <w:color w:val="auto"/>
          <w:sz w:val="44"/>
          <w:szCs w:val="44"/>
          <w:lang w:val="en-US" w:eastAsia="zh-CN"/>
        </w:rPr>
        <w:t>季华实验室热裂解仪和气相色谱质谱联用仪采购项目</w:t>
      </w:r>
      <w:bookmarkEnd w:id="0"/>
      <w:r>
        <w:rPr>
          <w:rFonts w:hint="eastAsia" w:ascii="宋体" w:hAnsi="宋体"/>
          <w:b/>
          <w:bCs/>
          <w:color w:val="auto"/>
          <w:sz w:val="44"/>
          <w:szCs w:val="44"/>
          <w:lang w:val="en-US" w:eastAsia="zh-CN"/>
        </w:rPr>
        <w:t>采购需求</w:t>
      </w:r>
    </w:p>
    <w:p w14:paraId="60F58749">
      <w:pPr>
        <w:rPr>
          <w:rFonts w:hint="eastAsia" w:ascii="宋体" w:hAnsi="宋体"/>
          <w:color w:val="auto"/>
          <w:sz w:val="24"/>
          <w:szCs w:val="24"/>
          <w:lang w:val="en-US" w:eastAsia="zh-CN"/>
        </w:rPr>
      </w:pPr>
    </w:p>
    <w:p w14:paraId="3CF2D252">
      <w:pPr>
        <w:pStyle w:val="8"/>
        <w:adjustRightInd w:val="0"/>
        <w:snapToGrid w:val="0"/>
        <w:spacing w:line="360" w:lineRule="auto"/>
        <w:jc w:val="both"/>
        <w:rPr>
          <w:rFonts w:hint="default" w:ascii="宋体" w:hAnsi="宋体"/>
          <w:color w:val="auto"/>
          <w:sz w:val="24"/>
          <w:szCs w:val="24"/>
        </w:rPr>
      </w:pPr>
      <w:r>
        <w:rPr>
          <w:rFonts w:hint="eastAsia" w:ascii="宋体" w:hAnsi="宋体"/>
          <w:b/>
          <w:color w:val="auto"/>
          <w:sz w:val="24"/>
          <w:szCs w:val="24"/>
          <w:lang w:val="en-US" w:eastAsia="zh-CN"/>
        </w:rPr>
        <w:t>1、</w:t>
      </w:r>
      <w:r>
        <w:rPr>
          <w:rFonts w:ascii="宋体" w:hAnsi="宋体"/>
          <w:b/>
          <w:color w:val="auto"/>
          <w:sz w:val="24"/>
          <w:szCs w:val="24"/>
        </w:rPr>
        <w:t>项目基本概况：</w:t>
      </w:r>
    </w:p>
    <w:p w14:paraId="000F0B46">
      <w:pPr>
        <w:rPr>
          <w:rFonts w:hint="eastAsia" w:ascii="宋体" w:hAnsi="宋体" w:cs="Courier New"/>
          <w:color w:val="auto"/>
          <w:sz w:val="24"/>
        </w:rPr>
      </w:pPr>
      <w:r>
        <w:rPr>
          <w:rFonts w:hint="eastAsia" w:ascii="宋体" w:hAnsi="宋体" w:cs="Courier New"/>
          <w:color w:val="auto"/>
          <w:sz w:val="24"/>
        </w:rPr>
        <w:t>本次招标为季华实验室所需设备。投标人应根据采购人所提出的设备技术规格、产品及质量要求，综合考虑设备的适应性，选择具有最佳性能价格比的设备前来投标。</w:t>
      </w:r>
    </w:p>
    <w:p w14:paraId="3F2469F0">
      <w:pPr>
        <w:rPr>
          <w:rFonts w:hint="eastAsia" w:ascii="宋体" w:hAnsi="宋体" w:cs="Courier New"/>
          <w:color w:val="auto"/>
          <w:sz w:val="24"/>
        </w:rPr>
      </w:pPr>
    </w:p>
    <w:p w14:paraId="520EC3BD">
      <w:pPr>
        <w:pStyle w:val="8"/>
        <w:adjustRightInd w:val="0"/>
        <w:snapToGrid w:val="0"/>
        <w:spacing w:line="360" w:lineRule="auto"/>
        <w:jc w:val="both"/>
        <w:rPr>
          <w:rFonts w:hint="default" w:ascii="宋体" w:hAnsi="宋体"/>
          <w:color w:val="auto"/>
          <w:sz w:val="24"/>
          <w:szCs w:val="24"/>
        </w:rPr>
      </w:pPr>
      <w:r>
        <w:rPr>
          <w:rFonts w:hint="eastAsia" w:ascii="宋体" w:hAnsi="宋体"/>
          <w:b/>
          <w:color w:val="auto"/>
          <w:sz w:val="24"/>
          <w:szCs w:val="24"/>
          <w:lang w:val="en-US" w:eastAsia="zh-CN"/>
        </w:rPr>
        <w:t>2、</w:t>
      </w:r>
      <w:r>
        <w:rPr>
          <w:rFonts w:ascii="宋体" w:hAnsi="宋体"/>
          <w:b/>
          <w:color w:val="auto"/>
          <w:sz w:val="24"/>
          <w:szCs w:val="24"/>
        </w:rPr>
        <w:t>项目一览表</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15"/>
        <w:gridCol w:w="1555"/>
        <w:gridCol w:w="1266"/>
        <w:gridCol w:w="1656"/>
        <w:gridCol w:w="1975"/>
      </w:tblGrid>
      <w:tr w14:paraId="07395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5" w:type="dxa"/>
            <w:noWrap w:val="0"/>
            <w:vAlign w:val="center"/>
          </w:tcPr>
          <w:p w14:paraId="71B19D2C">
            <w:pPr>
              <w:jc w:val="center"/>
              <w:rPr>
                <w:rFonts w:hint="default" w:ascii="宋体" w:hAnsi="宋体"/>
                <w:color w:val="auto"/>
                <w:sz w:val="24"/>
                <w:szCs w:val="24"/>
              </w:rPr>
            </w:pPr>
            <w:r>
              <w:rPr>
                <w:rFonts w:hint="eastAsia" w:ascii="宋体" w:hAnsi="宋体"/>
                <w:b/>
                <w:bCs/>
                <w:color w:val="auto"/>
                <w:szCs w:val="21"/>
              </w:rPr>
              <w:t>序号</w:t>
            </w:r>
          </w:p>
        </w:tc>
        <w:tc>
          <w:tcPr>
            <w:tcW w:w="1555" w:type="dxa"/>
            <w:noWrap w:val="0"/>
            <w:vAlign w:val="center"/>
          </w:tcPr>
          <w:p w14:paraId="481EF0CF">
            <w:pPr>
              <w:jc w:val="center"/>
              <w:rPr>
                <w:rFonts w:hint="default" w:ascii="宋体" w:hAnsi="宋体"/>
                <w:color w:val="auto"/>
                <w:sz w:val="24"/>
                <w:szCs w:val="24"/>
              </w:rPr>
            </w:pPr>
            <w:r>
              <w:rPr>
                <w:rFonts w:hint="eastAsia" w:ascii="宋体" w:hAnsi="宋体"/>
                <w:b/>
                <w:bCs/>
                <w:color w:val="auto"/>
                <w:szCs w:val="21"/>
              </w:rPr>
              <w:t>设备名称</w:t>
            </w:r>
          </w:p>
        </w:tc>
        <w:tc>
          <w:tcPr>
            <w:tcW w:w="1266" w:type="dxa"/>
            <w:noWrap w:val="0"/>
            <w:vAlign w:val="center"/>
          </w:tcPr>
          <w:p w14:paraId="62BA55DF">
            <w:pPr>
              <w:jc w:val="center"/>
              <w:rPr>
                <w:rFonts w:hint="default" w:ascii="宋体" w:hAnsi="宋体"/>
                <w:color w:val="auto"/>
                <w:sz w:val="24"/>
                <w:szCs w:val="24"/>
              </w:rPr>
            </w:pPr>
            <w:r>
              <w:rPr>
                <w:rFonts w:hint="eastAsia" w:ascii="宋体" w:hAnsi="宋体"/>
                <w:b/>
                <w:bCs/>
                <w:color w:val="auto"/>
                <w:szCs w:val="21"/>
              </w:rPr>
              <w:t>数量</w:t>
            </w:r>
          </w:p>
        </w:tc>
        <w:tc>
          <w:tcPr>
            <w:tcW w:w="1656" w:type="dxa"/>
            <w:noWrap w:val="0"/>
            <w:vAlign w:val="center"/>
          </w:tcPr>
          <w:p w14:paraId="442B1915">
            <w:pPr>
              <w:jc w:val="center"/>
              <w:rPr>
                <w:rFonts w:hint="default" w:ascii="宋体" w:hAnsi="宋体"/>
                <w:color w:val="auto"/>
                <w:sz w:val="24"/>
                <w:szCs w:val="24"/>
              </w:rPr>
            </w:pPr>
            <w:r>
              <w:rPr>
                <w:rFonts w:hint="eastAsia" w:ascii="宋体" w:hAnsi="宋体"/>
                <w:b/>
                <w:bCs/>
                <w:color w:val="auto"/>
                <w:szCs w:val="21"/>
              </w:rPr>
              <w:t>最高投标限价（元）</w:t>
            </w:r>
          </w:p>
        </w:tc>
        <w:tc>
          <w:tcPr>
            <w:tcW w:w="1975" w:type="dxa"/>
            <w:noWrap w:val="0"/>
            <w:vAlign w:val="top"/>
          </w:tcPr>
          <w:p w14:paraId="3BCAE324">
            <w:pPr>
              <w:pStyle w:val="8"/>
              <w:adjustRightInd w:val="0"/>
              <w:snapToGrid w:val="0"/>
              <w:rPr>
                <w:rFonts w:hint="default" w:ascii="宋体" w:hAnsi="宋体"/>
                <w:color w:val="auto"/>
                <w:sz w:val="24"/>
                <w:szCs w:val="24"/>
              </w:rPr>
            </w:pPr>
            <w:r>
              <w:rPr>
                <w:rFonts w:ascii="宋体" w:hAnsi="宋体"/>
                <w:b/>
                <w:bCs/>
                <w:color w:val="auto"/>
                <w:sz w:val="24"/>
                <w:szCs w:val="24"/>
              </w:rPr>
              <w:t>是否允许进口产品</w:t>
            </w:r>
          </w:p>
        </w:tc>
      </w:tr>
      <w:tr w14:paraId="7FE3D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5" w:type="dxa"/>
            <w:noWrap w:val="0"/>
            <w:vAlign w:val="center"/>
          </w:tcPr>
          <w:p w14:paraId="1390975F">
            <w:pPr>
              <w:pStyle w:val="8"/>
              <w:adjustRightInd w:val="0"/>
              <w:snapToGrid w:val="0"/>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1</w:t>
            </w:r>
          </w:p>
        </w:tc>
        <w:tc>
          <w:tcPr>
            <w:tcW w:w="1555" w:type="dxa"/>
            <w:shd w:val="clear" w:color="auto" w:fill="auto"/>
            <w:noWrap w:val="0"/>
            <w:vAlign w:val="center"/>
          </w:tcPr>
          <w:p w14:paraId="7A6946B9">
            <w:pPr>
              <w:pStyle w:val="8"/>
              <w:adjustRightInd w:val="0"/>
              <w:snapToGrid w:val="0"/>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热裂解仪</w:t>
            </w:r>
          </w:p>
        </w:tc>
        <w:tc>
          <w:tcPr>
            <w:tcW w:w="1266" w:type="dxa"/>
            <w:shd w:val="clear" w:color="auto" w:fill="auto"/>
            <w:noWrap w:val="0"/>
            <w:vAlign w:val="center"/>
          </w:tcPr>
          <w:p w14:paraId="7C63A9D7">
            <w:pPr>
              <w:pStyle w:val="8"/>
              <w:adjustRightInd w:val="0"/>
              <w:snapToGrid w:val="0"/>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一台</w:t>
            </w:r>
          </w:p>
        </w:tc>
        <w:tc>
          <w:tcPr>
            <w:tcW w:w="1656" w:type="dxa"/>
            <w:shd w:val="clear" w:color="auto" w:fill="auto"/>
            <w:noWrap w:val="0"/>
            <w:vAlign w:val="center"/>
          </w:tcPr>
          <w:p w14:paraId="3607CBE0">
            <w:pPr>
              <w:pStyle w:val="8"/>
              <w:adjustRightInd w:val="0"/>
              <w:snapToGrid w:val="0"/>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350,000</w:t>
            </w:r>
          </w:p>
        </w:tc>
        <w:tc>
          <w:tcPr>
            <w:tcW w:w="1975" w:type="dxa"/>
            <w:noWrap w:val="0"/>
            <w:vAlign w:val="top"/>
          </w:tcPr>
          <w:p w14:paraId="192B4C4E">
            <w:pPr>
              <w:pStyle w:val="8"/>
              <w:adjustRightInd w:val="0"/>
              <w:snapToGrid w:val="0"/>
              <w:rPr>
                <w:rFonts w:hint="default" w:ascii="宋体" w:hAnsi="宋体"/>
                <w:color w:val="auto"/>
                <w:sz w:val="24"/>
                <w:szCs w:val="24"/>
                <w:lang w:eastAsia="zh-CN"/>
              </w:rPr>
            </w:pPr>
            <w:r>
              <w:rPr>
                <w:rFonts w:hint="eastAsia" w:ascii="宋体" w:hAnsi="宋体"/>
                <w:color w:val="auto"/>
                <w:sz w:val="24"/>
                <w:szCs w:val="24"/>
                <w:lang w:val="en-US" w:eastAsia="zh-CN"/>
              </w:rPr>
              <w:t>是</w:t>
            </w:r>
          </w:p>
        </w:tc>
      </w:tr>
      <w:tr w14:paraId="513184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5" w:type="dxa"/>
            <w:noWrap w:val="0"/>
            <w:vAlign w:val="center"/>
          </w:tcPr>
          <w:p w14:paraId="297D0522">
            <w:pPr>
              <w:pStyle w:val="8"/>
              <w:adjustRightInd w:val="0"/>
              <w:snapToGrid w:val="0"/>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2</w:t>
            </w:r>
          </w:p>
        </w:tc>
        <w:tc>
          <w:tcPr>
            <w:tcW w:w="1555" w:type="dxa"/>
            <w:shd w:val="clear" w:color="auto" w:fill="auto"/>
            <w:noWrap w:val="0"/>
            <w:vAlign w:val="center"/>
          </w:tcPr>
          <w:p w14:paraId="528FB735">
            <w:pPr>
              <w:pStyle w:val="8"/>
              <w:adjustRightInd w:val="0"/>
              <w:snapToGrid w:val="0"/>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气相色谱质谱联用仪</w:t>
            </w:r>
          </w:p>
        </w:tc>
        <w:tc>
          <w:tcPr>
            <w:tcW w:w="1266" w:type="dxa"/>
            <w:shd w:val="clear" w:color="auto" w:fill="auto"/>
            <w:noWrap w:val="0"/>
            <w:vAlign w:val="center"/>
          </w:tcPr>
          <w:p w14:paraId="5A50E8CC">
            <w:pPr>
              <w:pStyle w:val="8"/>
              <w:adjustRightInd w:val="0"/>
              <w:snapToGrid w:val="0"/>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一台</w:t>
            </w:r>
          </w:p>
        </w:tc>
        <w:tc>
          <w:tcPr>
            <w:tcW w:w="1656" w:type="dxa"/>
            <w:shd w:val="clear" w:color="auto" w:fill="auto"/>
            <w:noWrap w:val="0"/>
            <w:vAlign w:val="center"/>
          </w:tcPr>
          <w:p w14:paraId="0A009A6F">
            <w:pPr>
              <w:pStyle w:val="8"/>
              <w:adjustRightInd w:val="0"/>
              <w:snapToGrid w:val="0"/>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495,000</w:t>
            </w:r>
          </w:p>
        </w:tc>
        <w:tc>
          <w:tcPr>
            <w:tcW w:w="1975" w:type="dxa"/>
            <w:noWrap w:val="0"/>
            <w:vAlign w:val="top"/>
          </w:tcPr>
          <w:p w14:paraId="35DBCAFD">
            <w:pPr>
              <w:pStyle w:val="8"/>
              <w:adjustRightInd w:val="0"/>
              <w:snapToGrid w:val="0"/>
              <w:rPr>
                <w:rFonts w:hint="default" w:ascii="宋体" w:hAnsi="宋体"/>
                <w:color w:val="auto"/>
                <w:sz w:val="24"/>
                <w:szCs w:val="24"/>
                <w:lang w:val="en-US" w:eastAsia="zh-CN"/>
              </w:rPr>
            </w:pPr>
            <w:r>
              <w:rPr>
                <w:rFonts w:hint="eastAsia" w:ascii="宋体" w:hAnsi="宋体"/>
                <w:color w:val="auto"/>
                <w:sz w:val="24"/>
                <w:szCs w:val="24"/>
                <w:lang w:val="en-US" w:eastAsia="zh-CN"/>
              </w:rPr>
              <w:t>是</w:t>
            </w:r>
          </w:p>
        </w:tc>
      </w:tr>
    </w:tbl>
    <w:p w14:paraId="01A6CF6B">
      <w:pPr>
        <w:rPr>
          <w:rFonts w:hint="default" w:ascii="宋体" w:hAnsi="宋体" w:cs="Courier New"/>
          <w:color w:val="auto"/>
          <w:sz w:val="24"/>
          <w:lang w:val="en-US" w:eastAsia="zh-CN"/>
        </w:rPr>
      </w:pPr>
    </w:p>
    <w:p w14:paraId="545DA802">
      <w:pPr>
        <w:pStyle w:val="8"/>
        <w:adjustRightInd w:val="0"/>
        <w:snapToGrid w:val="0"/>
        <w:spacing w:line="360" w:lineRule="auto"/>
        <w:ind w:left="0" w:leftChars="0" w:firstLine="0" w:firstLineChars="0"/>
        <w:rPr>
          <w:rFonts w:hint="default" w:ascii="宋体" w:hAnsi="宋体"/>
          <w:b/>
          <w:color w:val="auto"/>
          <w:sz w:val="24"/>
          <w:szCs w:val="24"/>
        </w:rPr>
      </w:pPr>
      <w:r>
        <w:rPr>
          <w:rFonts w:hint="eastAsia" w:ascii="宋体" w:hAnsi="宋体"/>
          <w:b/>
          <w:color w:val="auto"/>
          <w:sz w:val="24"/>
          <w:szCs w:val="24"/>
          <w:lang w:val="en-US" w:eastAsia="zh-CN"/>
        </w:rPr>
        <w:t>3、</w:t>
      </w:r>
      <w:r>
        <w:rPr>
          <w:rFonts w:ascii="宋体" w:hAnsi="宋体"/>
          <w:b/>
          <w:color w:val="auto"/>
          <w:sz w:val="24"/>
          <w:szCs w:val="24"/>
        </w:rPr>
        <w:t>技术参数</w:t>
      </w:r>
    </w:p>
    <w:p w14:paraId="7D92B141">
      <w:pPr>
        <w:pStyle w:val="4"/>
        <w:numPr>
          <w:ilvl w:val="0"/>
          <w:numId w:val="0"/>
        </w:numPr>
        <w:tabs>
          <w:tab w:val="left" w:pos="540"/>
        </w:tabs>
        <w:adjustRightInd w:val="0"/>
        <w:snapToGrid w:val="0"/>
        <w:spacing w:line="360" w:lineRule="auto"/>
        <w:ind w:leftChars="0"/>
        <w:rPr>
          <w:rFonts w:ascii="宋体" w:hAnsi="宋体"/>
          <w:b/>
          <w:color w:val="auto"/>
          <w:highlight w:val="none"/>
        </w:rPr>
      </w:pPr>
      <w:r>
        <w:rPr>
          <w:rFonts w:hint="eastAsia" w:cs="宋体" w:asciiTheme="minorEastAsia" w:hAnsiTheme="minorEastAsia"/>
          <w:b/>
          <w:bCs/>
          <w:color w:val="auto"/>
          <w:kern w:val="0"/>
          <w:sz w:val="24"/>
          <w:szCs w:val="24"/>
          <w:lang w:eastAsia="zh-CN"/>
        </w:rPr>
        <w:t>（</w:t>
      </w:r>
      <w:r>
        <w:rPr>
          <w:rFonts w:hint="eastAsia" w:cs="宋体" w:asciiTheme="minorEastAsia" w:hAnsiTheme="minorEastAsia"/>
          <w:b/>
          <w:bCs/>
          <w:color w:val="auto"/>
          <w:kern w:val="0"/>
          <w:sz w:val="24"/>
          <w:szCs w:val="24"/>
          <w:lang w:val="en-US" w:eastAsia="zh-CN"/>
        </w:rPr>
        <w:t>一</w:t>
      </w:r>
      <w:r>
        <w:rPr>
          <w:rFonts w:hint="eastAsia" w:cs="宋体" w:asciiTheme="minorEastAsia" w:hAnsiTheme="minorEastAsia"/>
          <w:b/>
          <w:bCs/>
          <w:color w:val="auto"/>
          <w:kern w:val="0"/>
          <w:sz w:val="24"/>
          <w:szCs w:val="24"/>
          <w:lang w:eastAsia="zh-CN"/>
        </w:rPr>
        <w:t>）</w:t>
      </w:r>
      <w:r>
        <w:rPr>
          <w:rFonts w:hint="eastAsia" w:cs="宋体" w:asciiTheme="minorEastAsia" w:hAnsiTheme="minorEastAsia"/>
          <w:b/>
          <w:bCs/>
          <w:color w:val="auto"/>
          <w:kern w:val="0"/>
          <w:sz w:val="24"/>
          <w:szCs w:val="24"/>
        </w:rPr>
        <w:t>热裂解仪</w:t>
      </w:r>
    </w:p>
    <w:p w14:paraId="56DF3EA7">
      <w:pPr>
        <w:pStyle w:val="4"/>
        <w:numPr>
          <w:ilvl w:val="0"/>
          <w:numId w:val="1"/>
        </w:numPr>
        <w:tabs>
          <w:tab w:val="left" w:pos="540"/>
        </w:tabs>
        <w:adjustRightInd w:val="0"/>
        <w:snapToGrid w:val="0"/>
        <w:spacing w:line="360" w:lineRule="auto"/>
        <w:ind w:left="360" w:hanging="360"/>
        <w:rPr>
          <w:rFonts w:cs="宋体" w:asciiTheme="minorEastAsia" w:hAnsiTheme="minorEastAsia"/>
          <w:b/>
          <w:bCs/>
          <w:color w:val="auto"/>
          <w:kern w:val="0"/>
          <w:sz w:val="24"/>
          <w:szCs w:val="24"/>
        </w:rPr>
      </w:pPr>
      <w:r>
        <w:rPr>
          <w:rFonts w:hint="eastAsia" w:cs="宋体" w:asciiTheme="minorEastAsia" w:hAnsiTheme="minorEastAsia"/>
          <w:b/>
          <w:bCs/>
          <w:color w:val="auto"/>
          <w:kern w:val="0"/>
          <w:sz w:val="24"/>
          <w:szCs w:val="24"/>
          <w:lang w:val="en-US" w:eastAsia="zh-CN"/>
        </w:rPr>
        <w:t>用途</w:t>
      </w:r>
    </w:p>
    <w:p w14:paraId="2F7C685B">
      <w:pPr>
        <w:spacing w:line="360" w:lineRule="auto"/>
        <w:ind w:firstLine="420" w:firstLineChars="200"/>
        <w:rPr>
          <w:rFonts w:hint="eastAsia" w:ascii="宋体" w:hAnsi="宋体"/>
          <w:color w:val="auto"/>
          <w:lang w:val="en-AU"/>
        </w:rPr>
      </w:pPr>
      <w:r>
        <w:rPr>
          <w:rFonts w:hint="eastAsia" w:ascii="宋体" w:hAnsi="宋体"/>
          <w:color w:val="auto"/>
        </w:rPr>
        <w:t>该设备为高分子成分分析的强有力工具，可广泛用于粘合剂、涂料、包装材料、特种高分子材料等新产品研制、质控、配方剖析等方面，与现有气质进行联机使用，对成分进行解析</w:t>
      </w:r>
      <w:r>
        <w:rPr>
          <w:rFonts w:hint="eastAsia" w:ascii="宋体" w:hAnsi="宋体"/>
          <w:color w:val="auto"/>
          <w:lang w:val="en-AU"/>
        </w:rPr>
        <w:t>。</w:t>
      </w:r>
    </w:p>
    <w:p w14:paraId="0184E3E6">
      <w:pPr>
        <w:pStyle w:val="4"/>
        <w:numPr>
          <w:ilvl w:val="0"/>
          <w:numId w:val="1"/>
        </w:numPr>
        <w:tabs>
          <w:tab w:val="left" w:pos="540"/>
        </w:tabs>
        <w:adjustRightInd w:val="0"/>
        <w:snapToGrid w:val="0"/>
        <w:spacing w:line="360" w:lineRule="auto"/>
        <w:ind w:left="360" w:hanging="360"/>
        <w:rPr>
          <w:rFonts w:cs="宋体" w:asciiTheme="minorEastAsia" w:hAnsiTheme="minorEastAsia"/>
          <w:b/>
          <w:bCs/>
          <w:color w:val="auto"/>
          <w:kern w:val="0"/>
          <w:sz w:val="24"/>
          <w:szCs w:val="24"/>
        </w:rPr>
      </w:pPr>
      <w:r>
        <w:rPr>
          <w:rFonts w:hint="eastAsia" w:cs="宋体" w:asciiTheme="minorEastAsia" w:hAnsiTheme="minorEastAsia"/>
          <w:b/>
          <w:bCs/>
          <w:color w:val="auto"/>
          <w:kern w:val="0"/>
          <w:sz w:val="24"/>
          <w:szCs w:val="24"/>
        </w:rPr>
        <w:t>性能指标要求</w:t>
      </w:r>
    </w:p>
    <w:p w14:paraId="2A0F532E">
      <w:pPr>
        <w:numPr>
          <w:ilvl w:val="0"/>
          <w:numId w:val="2"/>
        </w:numPr>
        <w:spacing w:line="360" w:lineRule="auto"/>
        <w:ind w:left="725" w:hanging="485"/>
        <w:rPr>
          <w:rFonts w:asciiTheme="minorEastAsia" w:hAnsiTheme="minorEastAsia" w:eastAsiaTheme="minorEastAsia" w:cstheme="minorEastAsia"/>
          <w:b/>
          <w:bCs/>
          <w:color w:val="auto"/>
          <w:kern w:val="0"/>
          <w:szCs w:val="21"/>
          <w:lang w:val="en-AU"/>
        </w:rPr>
      </w:pPr>
      <w:r>
        <w:rPr>
          <w:rFonts w:hint="eastAsia" w:asciiTheme="minorEastAsia" w:hAnsiTheme="minorEastAsia" w:eastAsiaTheme="minorEastAsia" w:cstheme="minorEastAsia"/>
          <w:b/>
          <w:bCs/>
          <w:color w:val="auto"/>
          <w:kern w:val="0"/>
          <w:szCs w:val="21"/>
          <w:lang w:val="en-US" w:eastAsia="zh-CN"/>
        </w:rPr>
        <w:t>工作条件</w:t>
      </w:r>
    </w:p>
    <w:p w14:paraId="5BDE2974">
      <w:pPr>
        <w:spacing w:line="360"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1）工作电压: AC 220V±10%。</w:t>
      </w:r>
    </w:p>
    <w:p w14:paraId="21CB5175">
      <w:pPr>
        <w:spacing w:line="360"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2）环境温度: +5</w:t>
      </w:r>
      <w:r>
        <w:rPr>
          <w:rFonts w:hint="eastAsia" w:ascii="微软雅黑" w:hAnsi="微软雅黑" w:eastAsia="微软雅黑" w:cs="微软雅黑"/>
          <w:color w:val="auto"/>
          <w:lang w:eastAsia="zh-CN"/>
        </w:rPr>
        <w:t>~</w:t>
      </w:r>
      <w:r>
        <w:rPr>
          <w:rFonts w:hint="eastAsia" w:asciiTheme="minorEastAsia" w:hAnsiTheme="minorEastAsia" w:eastAsiaTheme="minorEastAsia" w:cstheme="minorEastAsia"/>
          <w:color w:val="auto"/>
        </w:rPr>
        <w:t>+45℃。</w:t>
      </w:r>
    </w:p>
    <w:p w14:paraId="665F37EC">
      <w:pPr>
        <w:spacing w:line="360"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3）环境湿度:20%</w:t>
      </w:r>
      <w:r>
        <w:rPr>
          <w:rFonts w:hint="eastAsia" w:ascii="微软雅黑" w:hAnsi="微软雅黑" w:eastAsia="微软雅黑" w:cs="微软雅黑"/>
          <w:color w:val="auto"/>
          <w:lang w:eastAsia="zh-CN"/>
        </w:rPr>
        <w:t>~</w:t>
      </w:r>
      <w:r>
        <w:rPr>
          <w:rFonts w:hint="eastAsia" w:asciiTheme="minorEastAsia" w:hAnsiTheme="minorEastAsia" w:eastAsiaTheme="minorEastAsia" w:cstheme="minorEastAsia"/>
          <w:color w:val="auto"/>
        </w:rPr>
        <w:t>80%。</w:t>
      </w:r>
    </w:p>
    <w:p w14:paraId="350779DF">
      <w:pPr>
        <w:numPr>
          <w:ilvl w:val="0"/>
          <w:numId w:val="2"/>
        </w:numPr>
        <w:spacing w:line="360" w:lineRule="auto"/>
        <w:ind w:left="725" w:hanging="485"/>
        <w:rPr>
          <w:rFonts w:asciiTheme="minorEastAsia" w:hAnsiTheme="minorEastAsia" w:eastAsiaTheme="minorEastAsia" w:cstheme="minorEastAsia"/>
          <w:b/>
          <w:bCs/>
          <w:color w:val="auto"/>
          <w:kern w:val="0"/>
          <w:szCs w:val="21"/>
          <w:lang w:val="en-AU"/>
        </w:rPr>
      </w:pPr>
      <w:r>
        <w:rPr>
          <w:rFonts w:hint="eastAsia" w:asciiTheme="minorEastAsia" w:hAnsiTheme="minorEastAsia" w:eastAsiaTheme="minorEastAsia" w:cstheme="minorEastAsia"/>
          <w:b/>
          <w:bCs/>
          <w:color w:val="auto"/>
          <w:kern w:val="0"/>
          <w:szCs w:val="21"/>
          <w:lang w:val="en-US" w:eastAsia="zh-CN"/>
        </w:rPr>
        <w:t>设备技术</w:t>
      </w:r>
      <w:r>
        <w:rPr>
          <w:rFonts w:asciiTheme="minorEastAsia" w:hAnsiTheme="minorEastAsia" w:eastAsiaTheme="minorEastAsia" w:cstheme="minorEastAsia"/>
          <w:b/>
          <w:bCs/>
          <w:color w:val="auto"/>
          <w:kern w:val="0"/>
          <w:szCs w:val="21"/>
          <w:lang w:val="en-AU"/>
        </w:rPr>
        <w:t>参数</w:t>
      </w:r>
      <w:r>
        <w:rPr>
          <w:rFonts w:hint="eastAsia" w:asciiTheme="minorEastAsia" w:hAnsiTheme="minorEastAsia" w:eastAsiaTheme="minorEastAsia" w:cstheme="minorEastAsia"/>
          <w:b/>
          <w:bCs/>
          <w:color w:val="auto"/>
          <w:kern w:val="0"/>
          <w:szCs w:val="21"/>
          <w:lang w:val="en-US" w:eastAsia="zh-CN"/>
        </w:rPr>
        <w:t>要求</w:t>
      </w:r>
    </w:p>
    <w:p w14:paraId="61CEE980">
      <w:pPr>
        <w:spacing w:line="360" w:lineRule="auto"/>
        <w:ind w:firstLine="422"/>
        <w:rPr>
          <w:rFonts w:hint="eastAsia" w:asciiTheme="minorEastAsia" w:hAnsiTheme="minorEastAsia" w:eastAsiaTheme="minorEastAsia" w:cstheme="minorEastAsia"/>
          <w:b/>
          <w:bCs/>
          <w:color w:val="auto"/>
          <w:lang w:eastAsia="zh-CN"/>
        </w:rPr>
      </w:pPr>
      <w:r>
        <w:rPr>
          <w:rFonts w:hint="eastAsia" w:asciiTheme="minorEastAsia" w:hAnsiTheme="minorEastAsia" w:eastAsiaTheme="minorEastAsia" w:cstheme="minorEastAsia"/>
          <w:color w:val="auto"/>
        </w:rPr>
        <w:t>1）▲采用微炉式结构，实时测定样品温度，保证裂解结果重现性好，并可以直接进行进样分析，非热丝式裂解</w:t>
      </w:r>
      <w:r>
        <w:rPr>
          <w:rFonts w:hint="eastAsia" w:asciiTheme="minorEastAsia" w:hAnsiTheme="minorEastAsia" w:eastAsiaTheme="minorEastAsia" w:cstheme="minorEastAsia"/>
          <w:color w:val="auto"/>
          <w:lang w:val="en-US" w:eastAsia="zh-CN"/>
        </w:rPr>
        <w:t>仪</w:t>
      </w:r>
      <w:r>
        <w:rPr>
          <w:rFonts w:hint="eastAsia" w:asciiTheme="minorEastAsia" w:hAnsiTheme="minorEastAsia" w:eastAsiaTheme="minorEastAsia" w:cstheme="minorEastAsia"/>
          <w:color w:val="auto"/>
        </w:rPr>
        <w:t>以及居里点式裂解</w:t>
      </w:r>
      <w:r>
        <w:rPr>
          <w:rFonts w:hint="eastAsia" w:asciiTheme="minorEastAsia" w:hAnsiTheme="minorEastAsia" w:eastAsiaTheme="minorEastAsia" w:cstheme="minorEastAsia"/>
          <w:color w:val="auto"/>
          <w:lang w:val="en-US" w:eastAsia="zh-CN"/>
        </w:rPr>
        <w:t>仪</w:t>
      </w:r>
      <w:r>
        <w:rPr>
          <w:rFonts w:hint="eastAsia" w:asciiTheme="minorEastAsia" w:hAnsiTheme="minorEastAsia" w:eastAsiaTheme="minorEastAsia" w:cstheme="minorEastAsia"/>
          <w:color w:val="auto"/>
        </w:rPr>
        <w:t>需要长传输线模式，保证高沸点物质的分析精度</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b/>
          <w:bCs/>
          <w:color w:val="auto"/>
        </w:rPr>
        <w:t>（须提供以下任一证明材料并加盖投标人公章:①提供具备CMA或CNAS标志的检测报告复印件；②提供产品制造商官网相应功能截图，同时提供官网链接地址；③制造商产品说明书或使用手册，或制造厂商公开发布的产品功能介绍资料；④产品对应功能的照片或产品功能操作界面图片。未按要求提供证明材料视为不响应。</w:t>
      </w:r>
      <w:r>
        <w:rPr>
          <w:rFonts w:hint="eastAsia" w:asciiTheme="minorEastAsia" w:hAnsiTheme="minorEastAsia" w:eastAsiaTheme="minorEastAsia" w:cstheme="minorEastAsia"/>
          <w:b/>
          <w:bCs/>
          <w:color w:val="auto"/>
          <w:lang w:eastAsia="zh-CN"/>
        </w:rPr>
        <w:t>）</w:t>
      </w:r>
    </w:p>
    <w:p w14:paraId="685475EE">
      <w:pPr>
        <w:spacing w:line="360" w:lineRule="auto"/>
        <w:ind w:firstLine="422"/>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rPr>
        <w:t>2）</w:t>
      </w:r>
      <w:r>
        <w:rPr>
          <w:rFonts w:hint="eastAsia" w:asciiTheme="minorEastAsia" w:hAnsiTheme="minorEastAsia" w:eastAsiaTheme="minorEastAsia" w:cstheme="minorEastAsia"/>
          <w:color w:val="auto"/>
          <w:lang w:val="en-AU"/>
        </w:rPr>
        <w:t>★</w:t>
      </w:r>
      <w:r>
        <w:rPr>
          <w:rFonts w:hint="eastAsia" w:asciiTheme="minorEastAsia" w:hAnsiTheme="minorEastAsia" w:eastAsiaTheme="minorEastAsia" w:cstheme="minorEastAsia"/>
          <w:color w:val="auto"/>
        </w:rPr>
        <w:t>热裂解比值: 聚苯乙烯样品，在550℃裂解得到的三聚体(SSS)和硬脂酸甲酯(Me-Ste)峰面积比值≥10%；（须提供以下任一证明材料并加盖投标人公章:①提供具备CMA或CNAS标志的检测报告复印件；②提供产品制造商官网相应功能截图，同时提供官网链接地址；③制造商产品说明书或使用手册，或制造厂商公开发布的产品功能介绍资料；④产品对应功能的照片或产品功能操作界面图片。未按要求提供证明材料视为不响应。为方便评审，建议在证明材料能体现技术参数处进行标识（如增加红色方框并写明对应的参数名称或参数序号））</w:t>
      </w:r>
      <w:r>
        <w:rPr>
          <w:rFonts w:hint="eastAsia" w:asciiTheme="minorEastAsia" w:hAnsiTheme="minorEastAsia" w:eastAsiaTheme="minorEastAsia" w:cstheme="minorEastAsia"/>
          <w:color w:val="auto"/>
          <w:lang w:eastAsia="zh-CN"/>
        </w:rPr>
        <w:t>。</w:t>
      </w:r>
    </w:p>
    <w:p w14:paraId="2CCE5AFC">
      <w:pPr>
        <w:numPr>
          <w:ilvl w:val="0"/>
          <w:numId w:val="0"/>
        </w:numPr>
        <w:spacing w:line="360" w:lineRule="auto"/>
        <w:ind w:left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3</w:t>
      </w:r>
      <w:r>
        <w:rPr>
          <w:rFonts w:hint="eastAsia" w:asciiTheme="minorEastAsia" w:hAnsiTheme="minorEastAsia" w:eastAsiaTheme="minorEastAsia" w:cstheme="minorEastAsia"/>
          <w:color w:val="auto"/>
        </w:rPr>
        <w:t>）热裂解重现性: 聚苯乙烯样品，在550℃裂解得到的三聚体(SSS)和硬脂酸甲酯(Me-Ste)峰面积比值的RSD≤2%</w:t>
      </w:r>
    </w:p>
    <w:p w14:paraId="092C65BE">
      <w:pPr>
        <w:numPr>
          <w:ilvl w:val="0"/>
          <w:numId w:val="0"/>
        </w:numPr>
        <w:spacing w:line="360" w:lineRule="auto"/>
        <w:ind w:left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4</w:t>
      </w:r>
      <w:r>
        <w:rPr>
          <w:rFonts w:hint="eastAsia" w:asciiTheme="minorEastAsia" w:hAnsiTheme="minorEastAsia" w:eastAsiaTheme="minorEastAsia" w:cstheme="minorEastAsia"/>
          <w:color w:val="auto"/>
        </w:rPr>
        <w:t>）加热炉类型：竖式微型炉。</w:t>
      </w:r>
    </w:p>
    <w:p w14:paraId="0EE33552">
      <w:pPr>
        <w:numPr>
          <w:ilvl w:val="0"/>
          <w:numId w:val="0"/>
        </w:numPr>
        <w:spacing w:line="360" w:lineRule="auto"/>
        <w:ind w:left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5</w:t>
      </w:r>
      <w:r>
        <w:rPr>
          <w:rFonts w:hint="eastAsia" w:asciiTheme="minorEastAsia" w:hAnsiTheme="minorEastAsia" w:eastAsiaTheme="minorEastAsia" w:cstheme="minorEastAsia"/>
          <w:color w:val="auto"/>
        </w:rPr>
        <w:t>）温度范围：室温+10℃</w:t>
      </w:r>
      <w:r>
        <w:rPr>
          <w:rFonts w:hint="eastAsia" w:ascii="微软雅黑" w:hAnsi="微软雅黑" w:eastAsia="微软雅黑" w:cs="微软雅黑"/>
          <w:color w:val="auto"/>
          <w:lang w:eastAsia="zh-CN"/>
        </w:rPr>
        <w:t>~</w:t>
      </w:r>
      <w:r>
        <w:rPr>
          <w:rFonts w:hint="eastAsia" w:asciiTheme="minorEastAsia" w:hAnsiTheme="minorEastAsia" w:eastAsiaTheme="minorEastAsia" w:cstheme="minorEastAsia"/>
          <w:color w:val="auto"/>
        </w:rPr>
        <w:t>1050℃(1℃步进)。</w:t>
      </w:r>
    </w:p>
    <w:p w14:paraId="388C4D91">
      <w:pPr>
        <w:numPr>
          <w:ilvl w:val="0"/>
          <w:numId w:val="0"/>
        </w:numPr>
        <w:spacing w:line="360" w:lineRule="auto"/>
        <w:ind w:left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6</w:t>
      </w:r>
      <w:r>
        <w:rPr>
          <w:rFonts w:hint="eastAsia" w:asciiTheme="minorEastAsia" w:hAnsiTheme="minorEastAsia" w:eastAsiaTheme="minorEastAsia" w:cstheme="minorEastAsia"/>
          <w:color w:val="auto"/>
        </w:rPr>
        <w:t>）控温精度：±0.1℃。</w:t>
      </w:r>
    </w:p>
    <w:p w14:paraId="4F522C62">
      <w:pPr>
        <w:numPr>
          <w:ilvl w:val="0"/>
          <w:numId w:val="0"/>
        </w:numPr>
        <w:spacing w:line="360" w:lineRule="auto"/>
        <w:ind w:left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7</w:t>
      </w:r>
      <w:r>
        <w:rPr>
          <w:rFonts w:hint="eastAsia" w:asciiTheme="minorEastAsia" w:hAnsiTheme="minorEastAsia" w:eastAsiaTheme="minorEastAsia" w:cstheme="minorEastAsia"/>
          <w:color w:val="auto"/>
        </w:rPr>
        <w:t>）▲程序升温速率：1</w:t>
      </w:r>
      <w:r>
        <w:rPr>
          <w:rFonts w:hint="eastAsia" w:ascii="微软雅黑" w:hAnsi="微软雅黑" w:eastAsia="微软雅黑" w:cs="微软雅黑"/>
          <w:color w:val="auto"/>
          <w:lang w:eastAsia="zh-CN"/>
        </w:rPr>
        <w:t>~</w:t>
      </w:r>
      <w:r>
        <w:rPr>
          <w:rFonts w:hint="eastAsia" w:asciiTheme="minorEastAsia" w:hAnsiTheme="minorEastAsia" w:eastAsiaTheme="minorEastAsia" w:cstheme="minorEastAsia"/>
          <w:color w:val="auto"/>
        </w:rPr>
        <w:t>600℃/min</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rPr>
        <w:t>1℃/min 步进。</w:t>
      </w:r>
    </w:p>
    <w:p w14:paraId="1EA82B59">
      <w:pPr>
        <w:numPr>
          <w:ilvl w:val="0"/>
          <w:numId w:val="0"/>
        </w:numPr>
        <w:spacing w:line="360" w:lineRule="auto"/>
        <w:ind w:left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8</w:t>
      </w:r>
      <w:r>
        <w:rPr>
          <w:rFonts w:hint="eastAsia" w:asciiTheme="minorEastAsia" w:hAnsiTheme="minorEastAsia" w:eastAsiaTheme="minorEastAsia" w:cstheme="minorEastAsia"/>
          <w:color w:val="auto"/>
        </w:rPr>
        <w:t>）▲裂解时间：0</w:t>
      </w:r>
      <w:r>
        <w:rPr>
          <w:rFonts w:hint="eastAsia" w:ascii="微软雅黑" w:hAnsi="微软雅黑" w:eastAsia="微软雅黑" w:cs="微软雅黑"/>
          <w:color w:val="auto"/>
          <w:lang w:eastAsia="zh-CN"/>
        </w:rPr>
        <w:t>~</w:t>
      </w:r>
      <w:r>
        <w:rPr>
          <w:rFonts w:hint="eastAsia" w:asciiTheme="minorEastAsia" w:hAnsiTheme="minorEastAsia" w:eastAsiaTheme="minorEastAsia" w:cstheme="minorEastAsia"/>
          <w:color w:val="auto"/>
        </w:rPr>
        <w:t>999.9 min (0.1 min步进)。</w:t>
      </w:r>
    </w:p>
    <w:p w14:paraId="7D1E9153">
      <w:pPr>
        <w:numPr>
          <w:ilvl w:val="0"/>
          <w:numId w:val="0"/>
        </w:numPr>
        <w:spacing w:line="360" w:lineRule="auto"/>
        <w:ind w:left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9</w:t>
      </w:r>
      <w:r>
        <w:rPr>
          <w:rFonts w:hint="eastAsia" w:asciiTheme="minorEastAsia" w:hAnsiTheme="minorEastAsia" w:eastAsiaTheme="minorEastAsia" w:cstheme="minorEastAsia"/>
          <w:color w:val="auto"/>
        </w:rPr>
        <w:t>）冷却速度：使用 N2或者Air 快速冷却，10 min内实现800℃至50℃降温。</w:t>
      </w:r>
    </w:p>
    <w:p w14:paraId="5499E3E8">
      <w:pPr>
        <w:numPr>
          <w:ilvl w:val="0"/>
          <w:numId w:val="0"/>
        </w:numPr>
        <w:spacing w:line="360" w:lineRule="auto"/>
        <w:ind w:left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10</w:t>
      </w:r>
      <w:r>
        <w:rPr>
          <w:rFonts w:hint="eastAsia" w:asciiTheme="minorEastAsia" w:hAnsiTheme="minorEastAsia" w:eastAsiaTheme="minorEastAsia" w:cstheme="minorEastAsia"/>
          <w:color w:val="auto"/>
        </w:rPr>
        <w:t>）裂解管：石英裂解管。</w:t>
      </w:r>
    </w:p>
    <w:p w14:paraId="215F3496">
      <w:pPr>
        <w:numPr>
          <w:ilvl w:val="0"/>
          <w:numId w:val="0"/>
        </w:numPr>
        <w:spacing w:line="360" w:lineRule="auto"/>
        <w:ind w:left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11</w:t>
      </w:r>
      <w:r>
        <w:rPr>
          <w:rFonts w:hint="eastAsia" w:asciiTheme="minorEastAsia" w:hAnsiTheme="minorEastAsia" w:eastAsiaTheme="minorEastAsia" w:cstheme="minorEastAsia"/>
          <w:color w:val="auto"/>
        </w:rPr>
        <w:t>）接口进样针：惰化处理不锈钢针。</w:t>
      </w:r>
    </w:p>
    <w:p w14:paraId="75E42C9C">
      <w:pPr>
        <w:numPr>
          <w:ilvl w:val="0"/>
          <w:numId w:val="0"/>
        </w:numPr>
        <w:spacing w:line="360" w:lineRule="auto"/>
        <w:ind w:left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1</w:t>
      </w:r>
      <w:r>
        <w:rPr>
          <w:rFonts w:hint="eastAsia" w:asciiTheme="minorEastAsia" w:hAnsiTheme="minorEastAsia" w:eastAsiaTheme="minorEastAsia" w:cstheme="minorEastAsia"/>
          <w:color w:val="auto"/>
        </w:rPr>
        <w:t>2）样品杯：80μL (惰化处理不锈钢材质)。</w:t>
      </w:r>
    </w:p>
    <w:p w14:paraId="3CE222D9">
      <w:pPr>
        <w:numPr>
          <w:ilvl w:val="0"/>
          <w:numId w:val="0"/>
        </w:numPr>
        <w:spacing w:line="360" w:lineRule="auto"/>
        <w:ind w:leftChars="200"/>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val="en-US" w:eastAsia="zh-CN"/>
        </w:rPr>
        <w:t>13</w:t>
      </w:r>
      <w:r>
        <w:rPr>
          <w:rFonts w:hint="eastAsia" w:asciiTheme="minorEastAsia" w:hAnsiTheme="minorEastAsia" w:eastAsiaTheme="minorEastAsia" w:cstheme="minorEastAsia"/>
          <w:color w:val="auto"/>
        </w:rPr>
        <w:t>）▲裂解</w:t>
      </w:r>
      <w:r>
        <w:rPr>
          <w:rFonts w:hint="eastAsia" w:asciiTheme="minorEastAsia" w:hAnsiTheme="minorEastAsia" w:eastAsiaTheme="minorEastAsia" w:cstheme="minorEastAsia"/>
          <w:color w:val="auto"/>
          <w:lang w:val="en-US" w:eastAsia="zh-CN"/>
        </w:rPr>
        <w:t>仪</w:t>
      </w:r>
      <w:r>
        <w:rPr>
          <w:rFonts w:hint="eastAsia" w:asciiTheme="minorEastAsia" w:hAnsiTheme="minorEastAsia" w:eastAsiaTheme="minorEastAsia" w:cstheme="minorEastAsia"/>
          <w:color w:val="auto"/>
        </w:rPr>
        <w:t>软件可通过PC控制，与GCMS现有软件独立操作。</w:t>
      </w:r>
    </w:p>
    <w:p w14:paraId="7FDFBCD2">
      <w:pPr>
        <w:numPr>
          <w:ilvl w:val="0"/>
          <w:numId w:val="2"/>
        </w:numPr>
        <w:spacing w:line="360" w:lineRule="auto"/>
        <w:ind w:left="725" w:hanging="485"/>
        <w:rPr>
          <w:rFonts w:ascii="宋体" w:hAnsi="宋体"/>
          <w:b/>
          <w:color w:val="auto"/>
          <w:lang w:val="en-AU"/>
        </w:rPr>
      </w:pPr>
      <w:r>
        <w:rPr>
          <w:rFonts w:hint="eastAsia" w:asciiTheme="minorEastAsia" w:hAnsiTheme="minorEastAsia" w:eastAsiaTheme="minorEastAsia" w:cstheme="minorEastAsia"/>
          <w:b/>
          <w:bCs/>
          <w:color w:val="auto"/>
          <w:kern w:val="0"/>
          <w:szCs w:val="21"/>
        </w:rPr>
        <w:t>产品配置要求</w:t>
      </w:r>
    </w:p>
    <w:tbl>
      <w:tblPr>
        <w:tblStyle w:val="5"/>
        <w:tblW w:w="41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4982"/>
        <w:gridCol w:w="1346"/>
      </w:tblGrid>
      <w:tr w14:paraId="3AB4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F2F2F2"/>
            <w:vAlign w:val="center"/>
          </w:tcPr>
          <w:p w14:paraId="5BE63DB1">
            <w:pPr>
              <w:jc w:val="center"/>
              <w:rPr>
                <w:rFonts w:ascii="Times New Roman" w:hAnsi="Times New Roman"/>
                <w:b/>
                <w:color w:val="auto"/>
                <w:szCs w:val="24"/>
              </w:rPr>
            </w:pPr>
            <w:r>
              <w:rPr>
                <w:rFonts w:hint="eastAsia" w:ascii="Times New Roman" w:hAnsi="Times New Roman"/>
                <w:b/>
                <w:color w:val="auto"/>
                <w:szCs w:val="24"/>
              </w:rPr>
              <w:t>序号</w:t>
            </w:r>
          </w:p>
        </w:tc>
        <w:tc>
          <w:tcPr>
            <w:tcW w:w="3493" w:type="pct"/>
            <w:shd w:val="clear" w:color="auto" w:fill="F2F2F2"/>
            <w:vAlign w:val="center"/>
          </w:tcPr>
          <w:p w14:paraId="28F3F225">
            <w:pPr>
              <w:jc w:val="center"/>
              <w:rPr>
                <w:rFonts w:ascii="Times New Roman" w:hAnsi="Times New Roman"/>
                <w:b/>
                <w:color w:val="auto"/>
                <w:szCs w:val="24"/>
              </w:rPr>
            </w:pPr>
            <w:r>
              <w:rPr>
                <w:rFonts w:hint="eastAsia" w:ascii="宋体" w:hAnsi="宋体"/>
                <w:b/>
                <w:color w:val="auto"/>
                <w:szCs w:val="21"/>
              </w:rPr>
              <w:t>采购清单</w:t>
            </w:r>
          </w:p>
        </w:tc>
        <w:tc>
          <w:tcPr>
            <w:tcW w:w="944" w:type="pct"/>
            <w:shd w:val="clear" w:color="auto" w:fill="F2F2F2"/>
            <w:vAlign w:val="center"/>
          </w:tcPr>
          <w:p w14:paraId="5FBE3A4C">
            <w:pPr>
              <w:jc w:val="center"/>
              <w:rPr>
                <w:rFonts w:ascii="Times New Roman" w:hAnsi="Times New Roman"/>
                <w:b/>
                <w:color w:val="auto"/>
                <w:szCs w:val="24"/>
              </w:rPr>
            </w:pPr>
            <w:r>
              <w:rPr>
                <w:rFonts w:hint="eastAsia" w:ascii="Times New Roman" w:hAnsi="Times New Roman"/>
                <w:b/>
                <w:color w:val="auto"/>
                <w:szCs w:val="24"/>
              </w:rPr>
              <w:t>数量</w:t>
            </w:r>
          </w:p>
        </w:tc>
      </w:tr>
      <w:tr w14:paraId="515C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auto"/>
            <w:vAlign w:val="center"/>
          </w:tcPr>
          <w:p w14:paraId="78BB2CA3">
            <w:pPr>
              <w:jc w:val="center"/>
              <w:rPr>
                <w:rFonts w:ascii="Times New Roman" w:hAnsi="Times New Roman"/>
                <w:color w:val="auto"/>
                <w:szCs w:val="24"/>
              </w:rPr>
            </w:pPr>
            <w:r>
              <w:rPr>
                <w:rFonts w:hint="eastAsia" w:ascii="Times New Roman" w:hAnsi="Times New Roman"/>
                <w:color w:val="auto"/>
                <w:szCs w:val="24"/>
              </w:rPr>
              <w:t>1</w:t>
            </w:r>
          </w:p>
        </w:tc>
        <w:tc>
          <w:tcPr>
            <w:tcW w:w="3493" w:type="pct"/>
            <w:shd w:val="clear" w:color="auto" w:fill="auto"/>
            <w:vAlign w:val="center"/>
          </w:tcPr>
          <w:p w14:paraId="1235E315">
            <w:pPr>
              <w:jc w:val="center"/>
              <w:rPr>
                <w:rFonts w:ascii="Times New Roman" w:hAnsi="Times New Roman"/>
                <w:color w:val="auto"/>
                <w:szCs w:val="24"/>
              </w:rPr>
            </w:pPr>
            <w:r>
              <w:rPr>
                <w:rFonts w:hint="eastAsia" w:asciiTheme="minorEastAsia" w:hAnsiTheme="minorEastAsia" w:eastAsiaTheme="minorEastAsia" w:cstheme="minorEastAsia"/>
                <w:color w:val="auto"/>
              </w:rPr>
              <w:t>热裂解仪</w:t>
            </w:r>
          </w:p>
        </w:tc>
        <w:tc>
          <w:tcPr>
            <w:tcW w:w="944" w:type="pct"/>
            <w:shd w:val="clear" w:color="auto" w:fill="auto"/>
            <w:vAlign w:val="center"/>
          </w:tcPr>
          <w:p w14:paraId="57B223AA">
            <w:pPr>
              <w:jc w:val="center"/>
              <w:rPr>
                <w:rFonts w:ascii="Times New Roman" w:hAnsi="Times New Roman"/>
                <w:color w:val="auto"/>
                <w:szCs w:val="24"/>
              </w:rPr>
            </w:pPr>
            <w:r>
              <w:rPr>
                <w:rFonts w:hint="eastAsia" w:asciiTheme="minorEastAsia" w:hAnsiTheme="minorEastAsia" w:eastAsiaTheme="minorEastAsia" w:cstheme="minorEastAsia"/>
                <w:color w:val="auto"/>
              </w:rPr>
              <w:t>1套</w:t>
            </w:r>
          </w:p>
        </w:tc>
      </w:tr>
      <w:tr w14:paraId="6762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auto"/>
            <w:vAlign w:val="center"/>
          </w:tcPr>
          <w:p w14:paraId="3ECF920B">
            <w:pPr>
              <w:jc w:val="center"/>
              <w:rPr>
                <w:rFonts w:hint="eastAsia" w:ascii="Times New Roman" w:hAnsi="Times New Roman" w:eastAsia="宋体"/>
                <w:color w:val="auto"/>
                <w:szCs w:val="24"/>
                <w:lang w:val="en-US" w:eastAsia="zh-CN"/>
              </w:rPr>
            </w:pPr>
            <w:r>
              <w:rPr>
                <w:rFonts w:hint="eastAsia" w:ascii="Times New Roman" w:hAnsi="Times New Roman"/>
                <w:color w:val="auto"/>
                <w:szCs w:val="24"/>
                <w:lang w:val="en-US" w:eastAsia="zh-CN"/>
              </w:rPr>
              <w:t>2</w:t>
            </w:r>
          </w:p>
        </w:tc>
        <w:tc>
          <w:tcPr>
            <w:tcW w:w="5430" w:type="dxa"/>
            <w:shd w:val="clear" w:color="auto" w:fill="auto"/>
            <w:vAlign w:val="center"/>
          </w:tcPr>
          <w:p w14:paraId="47D2F357">
            <w:pPr>
              <w:jc w:val="center"/>
              <w:rPr>
                <w:rFonts w:hint="eastAsia" w:ascii="宋体" w:hAnsi="宋体"/>
                <w:color w:val="auto"/>
                <w:lang w:eastAsia="zh-CN"/>
              </w:rPr>
            </w:pPr>
            <w:r>
              <w:rPr>
                <w:rFonts w:hint="eastAsia" w:asciiTheme="minorEastAsia" w:hAnsiTheme="minorEastAsia" w:eastAsiaTheme="minorEastAsia" w:cstheme="minorEastAsia"/>
                <w:color w:val="auto"/>
              </w:rPr>
              <w:t>标配消耗品</w:t>
            </w:r>
          </w:p>
        </w:tc>
        <w:tc>
          <w:tcPr>
            <w:tcW w:w="1467" w:type="dxa"/>
            <w:shd w:val="clear" w:color="auto" w:fill="auto"/>
            <w:vAlign w:val="center"/>
          </w:tcPr>
          <w:p w14:paraId="65AEC9D0">
            <w:pPr>
              <w:jc w:val="center"/>
              <w:rPr>
                <w:rFonts w:hint="default" w:ascii="Times New Roman" w:hAnsi="Times New Roman"/>
                <w:color w:val="auto"/>
                <w:szCs w:val="24"/>
              </w:rPr>
            </w:pPr>
            <w:r>
              <w:rPr>
                <w:rFonts w:hint="eastAsia" w:asciiTheme="minorEastAsia" w:hAnsiTheme="minorEastAsia" w:eastAsiaTheme="minorEastAsia" w:cstheme="minorEastAsia"/>
                <w:color w:val="auto"/>
              </w:rPr>
              <w:t>1套</w:t>
            </w:r>
          </w:p>
        </w:tc>
      </w:tr>
      <w:tr w14:paraId="6FD5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auto"/>
            <w:vAlign w:val="center"/>
          </w:tcPr>
          <w:p w14:paraId="6F64FFA8">
            <w:pPr>
              <w:jc w:val="center"/>
              <w:rPr>
                <w:rFonts w:hint="eastAsia" w:ascii="Times New Roman" w:hAnsi="Times New Roman" w:eastAsia="宋体"/>
                <w:color w:val="auto"/>
                <w:szCs w:val="24"/>
                <w:lang w:val="en-US" w:eastAsia="zh-CN"/>
              </w:rPr>
            </w:pPr>
            <w:r>
              <w:rPr>
                <w:rFonts w:hint="eastAsia" w:ascii="Times New Roman" w:hAnsi="Times New Roman"/>
                <w:color w:val="auto"/>
                <w:szCs w:val="24"/>
                <w:lang w:val="en-US" w:eastAsia="zh-CN"/>
              </w:rPr>
              <w:t>3</w:t>
            </w:r>
          </w:p>
        </w:tc>
        <w:tc>
          <w:tcPr>
            <w:tcW w:w="5430" w:type="dxa"/>
            <w:shd w:val="clear" w:color="auto" w:fill="auto"/>
            <w:vAlign w:val="center"/>
          </w:tcPr>
          <w:p w14:paraId="5101A8C1">
            <w:pPr>
              <w:jc w:val="center"/>
              <w:rPr>
                <w:rFonts w:hint="eastAsia" w:ascii="宋体" w:hAnsi="宋体"/>
                <w:color w:val="auto"/>
                <w:lang w:eastAsia="zh-CN"/>
              </w:rPr>
            </w:pPr>
            <w:r>
              <w:rPr>
                <w:rFonts w:hint="eastAsia" w:asciiTheme="minorEastAsia" w:hAnsiTheme="minorEastAsia" w:eastAsiaTheme="minorEastAsia" w:cstheme="minorEastAsia"/>
                <w:color w:val="auto"/>
              </w:rPr>
              <w:t>安装包</w:t>
            </w:r>
          </w:p>
        </w:tc>
        <w:tc>
          <w:tcPr>
            <w:tcW w:w="1467" w:type="dxa"/>
            <w:shd w:val="clear" w:color="auto" w:fill="auto"/>
            <w:vAlign w:val="center"/>
          </w:tcPr>
          <w:p w14:paraId="5E63EC3C">
            <w:pPr>
              <w:jc w:val="center"/>
              <w:rPr>
                <w:rFonts w:hint="default" w:ascii="Times New Roman" w:hAnsi="Times New Roman"/>
                <w:color w:val="auto"/>
                <w:szCs w:val="24"/>
              </w:rPr>
            </w:pPr>
            <w:r>
              <w:rPr>
                <w:rFonts w:hint="eastAsia" w:asciiTheme="minorEastAsia" w:hAnsiTheme="minorEastAsia" w:eastAsiaTheme="minorEastAsia" w:cstheme="minorEastAsia"/>
                <w:color w:val="auto"/>
              </w:rPr>
              <w:t>1套</w:t>
            </w:r>
          </w:p>
        </w:tc>
      </w:tr>
    </w:tbl>
    <w:p w14:paraId="24A1B7CD">
      <w:pPr>
        <w:pStyle w:val="4"/>
        <w:numPr>
          <w:ilvl w:val="0"/>
          <w:numId w:val="0"/>
        </w:numPr>
        <w:tabs>
          <w:tab w:val="left" w:pos="540"/>
        </w:tabs>
        <w:adjustRightInd w:val="0"/>
        <w:snapToGrid w:val="0"/>
        <w:spacing w:line="360" w:lineRule="auto"/>
        <w:ind w:leftChars="0"/>
        <w:rPr>
          <w:rFonts w:hint="eastAsia" w:cs="宋体" w:asciiTheme="minorEastAsia" w:hAnsiTheme="minorEastAsia"/>
          <w:b/>
          <w:bCs/>
          <w:color w:val="auto"/>
          <w:kern w:val="0"/>
          <w:sz w:val="24"/>
          <w:szCs w:val="24"/>
          <w:lang w:eastAsia="zh-CN"/>
        </w:rPr>
      </w:pPr>
    </w:p>
    <w:p w14:paraId="4047920F">
      <w:pPr>
        <w:pStyle w:val="4"/>
        <w:numPr>
          <w:ilvl w:val="0"/>
          <w:numId w:val="0"/>
        </w:numPr>
        <w:tabs>
          <w:tab w:val="left" w:pos="540"/>
        </w:tabs>
        <w:adjustRightInd w:val="0"/>
        <w:snapToGrid w:val="0"/>
        <w:spacing w:line="360" w:lineRule="auto"/>
        <w:ind w:leftChars="0"/>
        <w:rPr>
          <w:rFonts w:ascii="宋体" w:hAnsi="宋体"/>
          <w:b/>
          <w:color w:val="auto"/>
          <w:highlight w:val="none"/>
        </w:rPr>
      </w:pPr>
      <w:r>
        <w:rPr>
          <w:rFonts w:hint="eastAsia" w:cs="宋体" w:asciiTheme="minorEastAsia" w:hAnsiTheme="minorEastAsia"/>
          <w:b/>
          <w:bCs/>
          <w:color w:val="auto"/>
          <w:kern w:val="0"/>
          <w:sz w:val="24"/>
          <w:szCs w:val="24"/>
          <w:lang w:eastAsia="zh-CN"/>
        </w:rPr>
        <w:t>（</w:t>
      </w:r>
      <w:r>
        <w:rPr>
          <w:rFonts w:hint="eastAsia" w:cs="宋体" w:asciiTheme="minorEastAsia" w:hAnsiTheme="minorEastAsia"/>
          <w:b/>
          <w:bCs/>
          <w:color w:val="auto"/>
          <w:kern w:val="0"/>
          <w:sz w:val="24"/>
          <w:szCs w:val="24"/>
          <w:lang w:val="en-US" w:eastAsia="zh-CN"/>
        </w:rPr>
        <w:t>二</w:t>
      </w:r>
      <w:r>
        <w:rPr>
          <w:rFonts w:hint="eastAsia" w:cs="宋体" w:asciiTheme="minorEastAsia" w:hAnsiTheme="minorEastAsia"/>
          <w:b/>
          <w:bCs/>
          <w:color w:val="auto"/>
          <w:kern w:val="0"/>
          <w:sz w:val="24"/>
          <w:szCs w:val="24"/>
          <w:lang w:eastAsia="zh-CN"/>
        </w:rPr>
        <w:t>）</w:t>
      </w:r>
      <w:r>
        <w:rPr>
          <w:rFonts w:hint="eastAsia" w:cs="宋体" w:asciiTheme="minorEastAsia" w:hAnsiTheme="minorEastAsia"/>
          <w:b/>
          <w:bCs/>
          <w:color w:val="auto"/>
          <w:kern w:val="0"/>
          <w:sz w:val="24"/>
          <w:szCs w:val="24"/>
        </w:rPr>
        <w:t>气相色谱质谱联用仪</w:t>
      </w:r>
    </w:p>
    <w:p w14:paraId="5607C1A6">
      <w:pPr>
        <w:pStyle w:val="4"/>
        <w:numPr>
          <w:ilvl w:val="0"/>
          <w:numId w:val="3"/>
        </w:numPr>
        <w:tabs>
          <w:tab w:val="left" w:pos="540"/>
        </w:tabs>
        <w:adjustRightInd w:val="0"/>
        <w:snapToGrid w:val="0"/>
        <w:spacing w:line="360" w:lineRule="auto"/>
        <w:ind w:left="360" w:hanging="360"/>
        <w:rPr>
          <w:rFonts w:cs="宋体" w:asciiTheme="minorEastAsia" w:hAnsiTheme="minorEastAsia"/>
          <w:b/>
          <w:bCs/>
          <w:color w:val="auto"/>
          <w:kern w:val="0"/>
          <w:sz w:val="24"/>
          <w:szCs w:val="24"/>
        </w:rPr>
      </w:pPr>
      <w:r>
        <w:rPr>
          <w:rFonts w:hint="eastAsia" w:cs="宋体" w:asciiTheme="minorEastAsia" w:hAnsiTheme="minorEastAsia"/>
          <w:b/>
          <w:bCs/>
          <w:color w:val="auto"/>
          <w:kern w:val="0"/>
          <w:sz w:val="24"/>
          <w:szCs w:val="24"/>
          <w:lang w:val="en-US" w:eastAsia="zh-CN"/>
        </w:rPr>
        <w:t>用途</w:t>
      </w:r>
    </w:p>
    <w:p w14:paraId="6B2EC2BA">
      <w:pPr>
        <w:spacing w:line="360" w:lineRule="auto"/>
        <w:ind w:firstLine="420" w:firstLineChars="200"/>
        <w:rPr>
          <w:rFonts w:hint="eastAsia" w:ascii="宋体" w:hAnsi="宋体"/>
          <w:color w:val="auto"/>
          <w:lang w:val="en-AU"/>
        </w:rPr>
      </w:pPr>
      <w:r>
        <w:rPr>
          <w:rFonts w:hint="eastAsia" w:ascii="宋体" w:hAnsi="宋体"/>
          <w:color w:val="auto"/>
        </w:rPr>
        <w:t>用于永久性气体、挥发性、半挥发性有机化合物的定性、定量分析</w:t>
      </w:r>
      <w:r>
        <w:rPr>
          <w:rFonts w:hint="eastAsia" w:ascii="宋体" w:hAnsi="宋体"/>
          <w:color w:val="auto"/>
          <w:lang w:val="en-AU"/>
        </w:rPr>
        <w:t>。</w:t>
      </w:r>
    </w:p>
    <w:p w14:paraId="6BD805DD">
      <w:pPr>
        <w:pStyle w:val="4"/>
        <w:numPr>
          <w:ilvl w:val="0"/>
          <w:numId w:val="3"/>
        </w:numPr>
        <w:tabs>
          <w:tab w:val="left" w:pos="540"/>
        </w:tabs>
        <w:adjustRightInd w:val="0"/>
        <w:snapToGrid w:val="0"/>
        <w:spacing w:line="360" w:lineRule="auto"/>
        <w:ind w:left="360" w:hanging="360"/>
        <w:rPr>
          <w:rFonts w:cs="宋体" w:asciiTheme="minorEastAsia" w:hAnsiTheme="minorEastAsia"/>
          <w:b/>
          <w:bCs/>
          <w:color w:val="auto"/>
          <w:kern w:val="0"/>
          <w:sz w:val="24"/>
          <w:szCs w:val="24"/>
        </w:rPr>
      </w:pPr>
      <w:r>
        <w:rPr>
          <w:rFonts w:hint="eastAsia" w:cs="宋体" w:asciiTheme="minorEastAsia" w:hAnsiTheme="minorEastAsia"/>
          <w:b/>
          <w:bCs/>
          <w:color w:val="auto"/>
          <w:kern w:val="0"/>
          <w:sz w:val="24"/>
          <w:szCs w:val="24"/>
        </w:rPr>
        <w:t>性能指标要求</w:t>
      </w:r>
    </w:p>
    <w:p w14:paraId="242CF86F">
      <w:pPr>
        <w:numPr>
          <w:ilvl w:val="0"/>
          <w:numId w:val="4"/>
        </w:numPr>
        <w:spacing w:line="360" w:lineRule="auto"/>
        <w:ind w:left="725" w:hanging="485"/>
        <w:rPr>
          <w:rFonts w:asciiTheme="minorEastAsia" w:hAnsiTheme="minorEastAsia" w:eastAsiaTheme="minorEastAsia" w:cstheme="minorEastAsia"/>
          <w:b/>
          <w:bCs/>
          <w:color w:val="auto"/>
          <w:kern w:val="0"/>
          <w:szCs w:val="21"/>
          <w:lang w:val="en-AU"/>
        </w:rPr>
      </w:pPr>
      <w:r>
        <w:rPr>
          <w:rFonts w:hint="eastAsia" w:asciiTheme="minorEastAsia" w:hAnsiTheme="minorEastAsia" w:eastAsiaTheme="minorEastAsia" w:cstheme="minorEastAsia"/>
          <w:b/>
          <w:bCs/>
          <w:color w:val="auto"/>
          <w:kern w:val="0"/>
          <w:szCs w:val="21"/>
          <w:lang w:val="en-US" w:eastAsia="zh-CN"/>
        </w:rPr>
        <w:t>工作条件</w:t>
      </w:r>
    </w:p>
    <w:p w14:paraId="6F175C4A">
      <w:pPr>
        <w:spacing w:line="360"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w:t>
      </w:r>
      <w:r>
        <w:rPr>
          <w:rFonts w:hint="eastAsia"/>
          <w:color w:val="auto"/>
        </w:rPr>
        <w:t>电源：220V，50Hz电源</w:t>
      </w:r>
      <w:r>
        <w:rPr>
          <w:rFonts w:hint="eastAsia" w:asciiTheme="minorEastAsia" w:hAnsiTheme="minorEastAsia" w:eastAsiaTheme="minorEastAsia" w:cstheme="minorEastAsia"/>
          <w:color w:val="auto"/>
        </w:rPr>
        <w:t>。</w:t>
      </w:r>
    </w:p>
    <w:p w14:paraId="67D11AD4">
      <w:pPr>
        <w:spacing w:line="360" w:lineRule="auto"/>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2）环境温度：10-35˚C，环境湿度：20%-80%。</w:t>
      </w:r>
    </w:p>
    <w:p w14:paraId="142021F5">
      <w:pPr>
        <w:numPr>
          <w:ilvl w:val="0"/>
          <w:numId w:val="4"/>
        </w:numPr>
        <w:spacing w:line="360" w:lineRule="auto"/>
        <w:ind w:left="725" w:hanging="485"/>
        <w:rPr>
          <w:rFonts w:asciiTheme="minorEastAsia" w:hAnsiTheme="minorEastAsia" w:eastAsiaTheme="minorEastAsia" w:cstheme="minorEastAsia"/>
          <w:b/>
          <w:bCs/>
          <w:color w:val="auto"/>
          <w:kern w:val="0"/>
          <w:szCs w:val="21"/>
          <w:lang w:val="en-AU"/>
        </w:rPr>
      </w:pPr>
      <w:r>
        <w:rPr>
          <w:rFonts w:hint="eastAsia" w:asciiTheme="minorEastAsia" w:hAnsiTheme="minorEastAsia" w:eastAsiaTheme="minorEastAsia" w:cstheme="minorEastAsia"/>
          <w:b/>
          <w:bCs/>
          <w:color w:val="auto"/>
          <w:kern w:val="0"/>
          <w:szCs w:val="21"/>
          <w:lang w:val="en-US" w:eastAsia="zh-CN"/>
        </w:rPr>
        <w:t>设备技术</w:t>
      </w:r>
      <w:r>
        <w:rPr>
          <w:rFonts w:asciiTheme="minorEastAsia" w:hAnsiTheme="minorEastAsia" w:eastAsiaTheme="minorEastAsia" w:cstheme="minorEastAsia"/>
          <w:b/>
          <w:bCs/>
          <w:color w:val="auto"/>
          <w:kern w:val="0"/>
          <w:szCs w:val="21"/>
          <w:lang w:val="en-AU"/>
        </w:rPr>
        <w:t>参数</w:t>
      </w:r>
      <w:r>
        <w:rPr>
          <w:rFonts w:hint="eastAsia" w:asciiTheme="minorEastAsia" w:hAnsiTheme="minorEastAsia" w:eastAsiaTheme="minorEastAsia" w:cstheme="minorEastAsia"/>
          <w:b/>
          <w:bCs/>
          <w:color w:val="auto"/>
          <w:kern w:val="0"/>
          <w:szCs w:val="21"/>
          <w:lang w:val="en-US" w:eastAsia="zh-CN"/>
        </w:rPr>
        <w:t>要求</w:t>
      </w:r>
    </w:p>
    <w:p w14:paraId="0EE06507">
      <w:pPr>
        <w:spacing w:line="360" w:lineRule="auto"/>
        <w:ind w:firstLine="422"/>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w:t>
      </w:r>
      <w:r>
        <w:rPr>
          <w:rFonts w:hint="eastAsia" w:ascii="宋体" w:hAnsi="宋体" w:cs="宋体"/>
          <w:color w:val="auto"/>
        </w:rPr>
        <w:t>系统性能</w:t>
      </w:r>
    </w:p>
    <w:p w14:paraId="2DC73F10">
      <w:pPr>
        <w:spacing w:line="360" w:lineRule="auto"/>
        <w:ind w:firstLine="422"/>
        <w:rPr>
          <w:rFonts w:asciiTheme="minorEastAsia" w:hAnsiTheme="minorEastAsia" w:eastAsiaTheme="minorEastAsia" w:cstheme="minorEastAsia"/>
          <w:b/>
          <w:bCs/>
          <w:color w:val="auto"/>
        </w:rPr>
      </w:pPr>
      <w:r>
        <w:rPr>
          <w:rFonts w:hint="eastAsia" w:asciiTheme="minorEastAsia" w:hAnsiTheme="minorEastAsia" w:eastAsiaTheme="minorEastAsia" w:cstheme="minorEastAsia"/>
          <w:color w:val="auto"/>
        </w:rPr>
        <w:t>▲GC的主板上配置有可独立运行的电脑系统。模块含有独立的操作系统，可设定仪器的参数，编辑方法序列，采集实时谱图。仪器也可以直接接显示器，鼠标，键盘，直接登录SOM里的系统，也能控制同品牌的顶空进样器。（</w:t>
      </w:r>
      <w:r>
        <w:rPr>
          <w:rFonts w:hint="eastAsia" w:ascii="宋体" w:hAnsi="宋体" w:cs="宋体"/>
          <w:b/>
          <w:bCs/>
          <w:color w:val="auto"/>
          <w:kern w:val="0"/>
          <w:szCs w:val="21"/>
        </w:rPr>
        <w:t>须提供以下任一证明材料并加盖投标人公章:①提供具备CMA或CNAS标志的检测报告复印件；②提供产品制造商官网相应功能截图，同时提供官网链接地址；③制造商产品说明书或使用手册，或制造厂商公开发布的产品功能介绍资料；④产品对应功能的照片或产品功能操作界面图片。未按要求提供证明材料视为不响应</w:t>
      </w:r>
      <w:r>
        <w:rPr>
          <w:rFonts w:hint="eastAsia" w:ascii="宋体" w:hAnsi="宋体" w:cs="宋体"/>
          <w:b/>
          <w:bCs/>
          <w:color w:val="auto"/>
          <w:kern w:val="0"/>
          <w:szCs w:val="21"/>
          <w:lang w:eastAsia="zh-CN"/>
        </w:rPr>
        <w:t>。</w:t>
      </w:r>
      <w:r>
        <w:rPr>
          <w:rFonts w:hint="eastAsia" w:ascii="宋体" w:hAnsi="宋体" w:cs="宋体"/>
          <w:b/>
          <w:bCs/>
          <w:color w:val="auto"/>
          <w:kern w:val="0"/>
          <w:szCs w:val="21"/>
        </w:rPr>
        <w:t>）</w:t>
      </w:r>
    </w:p>
    <w:p w14:paraId="0082E645">
      <w:pPr>
        <w:spacing w:line="360" w:lineRule="auto"/>
        <w:ind w:firstLine="422"/>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2</w:t>
      </w:r>
      <w:r>
        <w:rPr>
          <w:rFonts w:hint="eastAsia" w:asciiTheme="minorEastAsia" w:hAnsiTheme="minorEastAsia" w:eastAsiaTheme="minorEastAsia" w:cstheme="minorEastAsia"/>
          <w:color w:val="auto"/>
        </w:rPr>
        <w:t>）</w:t>
      </w:r>
      <w:r>
        <w:rPr>
          <w:rFonts w:hint="eastAsia" w:ascii="宋体" w:hAnsi="宋体" w:cs="宋体"/>
          <w:color w:val="auto"/>
        </w:rPr>
        <w:t>进样口</w:t>
      </w:r>
    </w:p>
    <w:p w14:paraId="589D6FDA">
      <w:pPr>
        <w:numPr>
          <w:ilvl w:val="0"/>
          <w:numId w:val="5"/>
        </w:numPr>
        <w:spacing w:line="360" w:lineRule="auto"/>
        <w:ind w:left="0" w:leftChars="0" w:firstLine="420" w:firstLineChars="200"/>
        <w:rPr>
          <w:rFonts w:hint="eastAsia"/>
          <w:color w:val="auto"/>
          <w:lang w:val="en-US" w:eastAsia="zh-CN"/>
        </w:rPr>
      </w:pPr>
      <w:r>
        <w:rPr>
          <w:rFonts w:hint="eastAsia"/>
          <w:color w:val="auto"/>
          <w:lang w:val="en-US" w:eastAsia="zh-CN"/>
        </w:rPr>
        <w:t xml:space="preserve"> (惰性)分流/不分流毛细管柱进样口 (SSL)；</w:t>
      </w:r>
    </w:p>
    <w:p w14:paraId="119E4921">
      <w:pPr>
        <w:numPr>
          <w:ilvl w:val="0"/>
          <w:numId w:val="5"/>
        </w:numPr>
        <w:spacing w:line="360" w:lineRule="auto"/>
        <w:ind w:left="0" w:leftChars="0" w:firstLine="420" w:firstLineChars="200"/>
        <w:rPr>
          <w:rFonts w:hint="eastAsia"/>
          <w:color w:val="auto"/>
          <w:lang w:val="en-US" w:eastAsia="zh-CN"/>
        </w:rPr>
      </w:pPr>
      <w:r>
        <w:rPr>
          <w:rFonts w:hint="eastAsia"/>
          <w:color w:val="auto"/>
          <w:lang w:val="en-US" w:eastAsia="zh-CN"/>
        </w:rPr>
        <w:t xml:space="preserve">  </w:t>
      </w:r>
      <w:r>
        <w:rPr>
          <w:rFonts w:hint="eastAsia"/>
          <w:color w:val="auto"/>
        </w:rPr>
        <w:t>▲ 压力设定精度：0.001psi</w:t>
      </w:r>
      <w:r>
        <w:rPr>
          <w:rFonts w:hint="eastAsia"/>
          <w:color w:val="auto"/>
          <w:lang w:val="en-US" w:eastAsia="zh-CN"/>
        </w:rPr>
        <w:t>；</w:t>
      </w:r>
    </w:p>
    <w:p w14:paraId="2322408B">
      <w:pPr>
        <w:numPr>
          <w:ilvl w:val="0"/>
          <w:numId w:val="5"/>
        </w:numPr>
        <w:spacing w:line="360" w:lineRule="auto"/>
        <w:ind w:left="0" w:leftChars="0" w:firstLine="420" w:firstLineChars="200"/>
        <w:rPr>
          <w:rFonts w:hint="eastAsia"/>
          <w:color w:val="auto"/>
          <w:lang w:val="en-US" w:eastAsia="zh-CN"/>
        </w:rPr>
      </w:pPr>
      <w:r>
        <w:rPr>
          <w:rFonts w:hint="eastAsia"/>
          <w:color w:val="auto"/>
          <w:lang w:val="en-US" w:eastAsia="zh-CN"/>
        </w:rPr>
        <w:t xml:space="preserve"> </w:t>
      </w:r>
      <w:r>
        <w:rPr>
          <w:rFonts w:hint="eastAsia"/>
          <w:color w:val="auto"/>
        </w:rPr>
        <w:t xml:space="preserve"> 温度范围: 50℃ ～450℃ ，步长1℃</w:t>
      </w:r>
      <w:r>
        <w:rPr>
          <w:rFonts w:hint="eastAsia"/>
          <w:color w:val="auto"/>
          <w:lang w:val="en-US" w:eastAsia="zh-CN"/>
        </w:rPr>
        <w:t>；</w:t>
      </w:r>
    </w:p>
    <w:p w14:paraId="1AF68233">
      <w:pPr>
        <w:numPr>
          <w:ilvl w:val="0"/>
          <w:numId w:val="5"/>
        </w:numPr>
        <w:spacing w:line="360" w:lineRule="auto"/>
        <w:ind w:left="0" w:leftChars="0" w:firstLine="420" w:firstLineChars="200"/>
        <w:rPr>
          <w:rFonts w:hint="eastAsia"/>
          <w:color w:val="auto"/>
          <w:lang w:val="en-US" w:eastAsia="zh-CN"/>
        </w:rPr>
      </w:pPr>
      <w:r>
        <w:rPr>
          <w:rFonts w:hint="eastAsia"/>
          <w:color w:val="auto"/>
          <w:lang w:val="en-US" w:eastAsia="zh-CN"/>
        </w:rPr>
        <w:t xml:space="preserve">  ▲压力调整范围：0-150psi；</w:t>
      </w:r>
    </w:p>
    <w:p w14:paraId="573D7843">
      <w:pPr>
        <w:numPr>
          <w:ilvl w:val="0"/>
          <w:numId w:val="5"/>
        </w:numPr>
        <w:spacing w:line="360" w:lineRule="auto"/>
        <w:ind w:left="0" w:leftChars="0" w:firstLine="420" w:firstLineChars="200"/>
        <w:rPr>
          <w:rFonts w:hint="eastAsia"/>
          <w:color w:val="auto"/>
          <w:lang w:val="en-US" w:eastAsia="zh-CN"/>
        </w:rPr>
      </w:pPr>
      <w:r>
        <w:rPr>
          <w:rFonts w:hint="eastAsia"/>
          <w:color w:val="auto"/>
          <w:lang w:val="en-US" w:eastAsia="zh-CN"/>
        </w:rPr>
        <w:t xml:space="preserve">  分流比最大可调整到12500：1；</w:t>
      </w:r>
    </w:p>
    <w:p w14:paraId="7E1ED628">
      <w:pPr>
        <w:numPr>
          <w:ilvl w:val="0"/>
          <w:numId w:val="5"/>
        </w:numPr>
        <w:spacing w:line="360" w:lineRule="auto"/>
        <w:ind w:left="0" w:leftChars="0" w:firstLine="420" w:firstLineChars="200"/>
        <w:rPr>
          <w:rFonts w:hint="eastAsia" w:eastAsia="宋体"/>
          <w:color w:val="auto"/>
          <w:lang w:val="en-US" w:eastAsia="zh-CN"/>
        </w:rPr>
      </w:pPr>
      <w:r>
        <w:rPr>
          <w:rFonts w:hint="eastAsia" w:eastAsia="宋体"/>
          <w:color w:val="auto"/>
          <w:lang w:val="en-US" w:eastAsia="zh-CN"/>
        </w:rPr>
        <w:t xml:space="preserve">  ▲总流量设定范围</w:t>
      </w:r>
      <w:r>
        <w:rPr>
          <w:rFonts w:hint="eastAsia"/>
          <w:color w:val="auto"/>
        </w:rPr>
        <w:t>支持</w:t>
      </w:r>
      <w:r>
        <w:rPr>
          <w:rFonts w:hint="eastAsia" w:eastAsia="宋体"/>
          <w:color w:val="auto"/>
          <w:lang w:val="en-US" w:eastAsia="zh-CN"/>
        </w:rPr>
        <w:t>；</w:t>
      </w:r>
      <w:r>
        <w:rPr>
          <w:rFonts w:hint="eastAsia"/>
          <w:color w:val="auto"/>
        </w:rPr>
        <w:t>N2:5-1200ml/min；H2 or He:5-1500ml/min；Ar/CH4:5-1000ml/min</w:t>
      </w:r>
      <w:r>
        <w:rPr>
          <w:rFonts w:hint="eastAsia" w:eastAsia="宋体"/>
          <w:color w:val="auto"/>
          <w:lang w:val="en-US" w:eastAsia="zh-CN"/>
        </w:rPr>
        <w:t>。</w:t>
      </w:r>
    </w:p>
    <w:p w14:paraId="2D2B1299">
      <w:pPr>
        <w:spacing w:line="360" w:lineRule="auto"/>
        <w:ind w:firstLine="422"/>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3</w:t>
      </w:r>
      <w:r>
        <w:rPr>
          <w:rFonts w:hint="eastAsia" w:asciiTheme="minorEastAsia" w:hAnsiTheme="minorEastAsia" w:eastAsiaTheme="minorEastAsia" w:cstheme="minorEastAsia"/>
          <w:color w:val="auto"/>
        </w:rPr>
        <w:t>）</w:t>
      </w:r>
      <w:r>
        <w:rPr>
          <w:rFonts w:hint="eastAsia" w:asciiTheme="minorEastAsia" w:hAnsiTheme="minorEastAsia" w:eastAsiaTheme="minorEastAsia" w:cstheme="minorEastAsia"/>
          <w:color w:val="auto"/>
          <w:lang w:val="en-US" w:eastAsia="zh-CN"/>
        </w:rPr>
        <w:t>柱箱</w:t>
      </w:r>
    </w:p>
    <w:p w14:paraId="0640C059">
      <w:pPr>
        <w:numPr>
          <w:ilvl w:val="0"/>
          <w:numId w:val="6"/>
        </w:numPr>
        <w:spacing w:line="360" w:lineRule="auto"/>
        <w:ind w:left="0" w:leftChars="0" w:firstLine="420" w:firstLineChars="200"/>
        <w:rPr>
          <w:rFonts w:hint="eastAsia"/>
          <w:color w:val="auto"/>
          <w:lang w:val="en-US" w:eastAsia="zh-CN"/>
        </w:rPr>
      </w:pPr>
      <w:r>
        <w:rPr>
          <w:rFonts w:hint="eastAsia"/>
          <w:color w:val="auto"/>
          <w:lang w:val="en-US" w:eastAsia="zh-CN"/>
        </w:rPr>
        <w:t xml:space="preserve"> 操作温度范围：高于环境温度+4℃至450℃ ；</w:t>
      </w:r>
    </w:p>
    <w:p w14:paraId="44571BF7">
      <w:pPr>
        <w:numPr>
          <w:ilvl w:val="0"/>
          <w:numId w:val="6"/>
        </w:numPr>
        <w:spacing w:line="360" w:lineRule="auto"/>
        <w:ind w:left="0" w:leftChars="0" w:firstLine="420" w:firstLineChars="200"/>
        <w:rPr>
          <w:rFonts w:hint="eastAsia"/>
          <w:color w:val="auto"/>
          <w:lang w:val="en-US" w:eastAsia="zh-CN"/>
        </w:rPr>
      </w:pPr>
      <w:r>
        <w:rPr>
          <w:rFonts w:hint="eastAsia"/>
          <w:color w:val="auto"/>
          <w:lang w:val="en-US" w:eastAsia="zh-CN"/>
        </w:rPr>
        <w:t xml:space="preserve"> 最大升温速度</w:t>
      </w:r>
      <w:r>
        <w:rPr>
          <w:rFonts w:hint="eastAsia"/>
          <w:color w:val="auto"/>
        </w:rPr>
        <w:t>≥</w:t>
      </w:r>
      <w:r>
        <w:rPr>
          <w:rFonts w:hint="eastAsia"/>
          <w:color w:val="auto"/>
          <w:lang w:val="en-US" w:eastAsia="zh-CN"/>
        </w:rPr>
        <w:t>120℃/min；</w:t>
      </w:r>
    </w:p>
    <w:p w14:paraId="3FC183F4">
      <w:pPr>
        <w:numPr>
          <w:ilvl w:val="0"/>
          <w:numId w:val="6"/>
        </w:numPr>
        <w:spacing w:line="360" w:lineRule="auto"/>
        <w:ind w:firstLine="420" w:firstLineChars="200"/>
        <w:rPr>
          <w:color w:val="auto"/>
        </w:rPr>
      </w:pPr>
      <w:r>
        <w:rPr>
          <w:rFonts w:hint="eastAsia"/>
          <w:color w:val="auto"/>
          <w:lang w:val="en-US" w:eastAsia="zh-CN"/>
        </w:rPr>
        <w:t xml:space="preserve"> </w:t>
      </w:r>
      <w:r>
        <w:rPr>
          <w:rFonts w:hint="eastAsia" w:eastAsia="宋体"/>
          <w:color w:val="auto"/>
          <w:lang w:val="en-US" w:eastAsia="zh-CN"/>
        </w:rPr>
        <w:t>▲</w:t>
      </w:r>
      <w:r>
        <w:rPr>
          <w:rFonts w:hint="eastAsia"/>
          <w:color w:val="auto"/>
          <w:lang w:val="en-US" w:eastAsia="zh-CN"/>
        </w:rPr>
        <w:t>最大升温阶数</w:t>
      </w:r>
      <w:r>
        <w:rPr>
          <w:rFonts w:hint="eastAsia"/>
          <w:color w:val="auto"/>
        </w:rPr>
        <w:t>≥</w:t>
      </w:r>
      <w:r>
        <w:rPr>
          <w:rFonts w:hint="eastAsia"/>
          <w:color w:val="auto"/>
          <w:lang w:val="en-US" w:eastAsia="zh-CN"/>
        </w:rPr>
        <w:t>100阶，可以实现在一个谱图中多次程序升温进样，尤其是在线分析中。</w:t>
      </w:r>
      <w:r>
        <w:rPr>
          <w:rFonts w:hint="eastAsia" w:asciiTheme="minorEastAsia" w:hAnsiTheme="minorEastAsia" w:eastAsiaTheme="minorEastAsia" w:cstheme="minorEastAsia"/>
          <w:color w:val="auto"/>
        </w:rPr>
        <w:t>（</w:t>
      </w:r>
      <w:r>
        <w:rPr>
          <w:rFonts w:hint="eastAsia" w:ascii="宋体" w:hAnsi="宋体" w:cs="宋体"/>
          <w:b/>
          <w:bCs/>
          <w:color w:val="auto"/>
          <w:kern w:val="0"/>
          <w:szCs w:val="21"/>
        </w:rPr>
        <w:t>须提供以下任一证明材料并加盖投标人公章:①提供具备CMA或CNAS标志的检测报告复印件；②提供产品制造商官网相应功能截图，同时提供官网链接地址；③制造商产品说明书或使用手册，或制造厂商公开发布的产品功能介绍资料；④产品对应功能的照片或产品功能操作界面图片。未按要求提供证明材料视为不响应。）</w:t>
      </w:r>
    </w:p>
    <w:p w14:paraId="20B404A4">
      <w:pPr>
        <w:spacing w:line="360" w:lineRule="auto"/>
        <w:ind w:firstLine="422"/>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4</w:t>
      </w:r>
      <w:r>
        <w:rPr>
          <w:rFonts w:hint="eastAsia" w:asciiTheme="minorEastAsia" w:hAnsiTheme="minorEastAsia" w:eastAsiaTheme="minorEastAsia" w:cstheme="minorEastAsia"/>
          <w:color w:val="auto"/>
        </w:rPr>
        <w:t>）</w:t>
      </w:r>
      <w:r>
        <w:rPr>
          <w:rFonts w:hint="eastAsia" w:asciiTheme="minorEastAsia" w:hAnsiTheme="minorEastAsia" w:eastAsiaTheme="minorEastAsia" w:cstheme="minorEastAsia"/>
          <w:color w:val="auto"/>
          <w:lang w:val="en-US" w:eastAsia="zh-CN"/>
        </w:rPr>
        <w:t>质谱仪</w:t>
      </w:r>
    </w:p>
    <w:p w14:paraId="171402F2">
      <w:pPr>
        <w:numPr>
          <w:ilvl w:val="0"/>
          <w:numId w:val="7"/>
        </w:numPr>
        <w:spacing w:line="360" w:lineRule="auto"/>
        <w:ind w:left="0" w:leftChars="0" w:firstLine="420" w:firstLineChars="200"/>
        <w:rPr>
          <w:rFonts w:hint="eastAsia"/>
          <w:color w:val="auto"/>
          <w:lang w:val="en-US" w:eastAsia="zh-CN"/>
        </w:rPr>
      </w:pPr>
      <w:r>
        <w:rPr>
          <w:rFonts w:hint="eastAsia"/>
          <w:color w:val="auto"/>
          <w:lang w:val="en-US" w:eastAsia="zh-CN"/>
        </w:rPr>
        <w:t>离子源</w:t>
      </w:r>
    </w:p>
    <w:p w14:paraId="468F3E3E">
      <w:pPr>
        <w:numPr>
          <w:ilvl w:val="0"/>
          <w:numId w:val="8"/>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lang w:val="en-US" w:eastAsia="zh-CN"/>
        </w:rPr>
        <w:t>▲离子源部件包括灯丝在内≤12个，且无接线或螺丝；</w:t>
      </w:r>
      <w:r>
        <w:rPr>
          <w:rFonts w:hint="eastAsia" w:asciiTheme="minorEastAsia" w:hAnsiTheme="minorEastAsia" w:eastAsiaTheme="minorEastAsia" w:cstheme="minorEastAsia"/>
          <w:color w:val="auto"/>
        </w:rPr>
        <w:t>（</w:t>
      </w:r>
      <w:r>
        <w:rPr>
          <w:rFonts w:hint="eastAsia" w:ascii="宋体" w:hAnsi="宋体" w:cs="宋体"/>
          <w:b/>
          <w:bCs/>
          <w:color w:val="auto"/>
          <w:kern w:val="0"/>
          <w:szCs w:val="21"/>
        </w:rPr>
        <w:t>须提供以下任一证明材料并加盖投标人公章:①提供具备CMA或CNAS标志的检测报告复印件；②提供产品制造商官网相应功能截图，同时提供官网链接地址；③制造商产品说明书或使用手册，或制造厂商公开发布的产品功能介绍资料；④产品对应功能的照片或产品功能操作界面图片。未按要求提供证明材料视为不响应。）</w:t>
      </w:r>
    </w:p>
    <w:p w14:paraId="451347F4">
      <w:pPr>
        <w:numPr>
          <w:ilvl w:val="0"/>
          <w:numId w:val="8"/>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lang w:val="en-US" w:eastAsia="zh-CN"/>
        </w:rPr>
        <w:t>无需工具，3分钟内即可完成拆装，提高离子源的维护效率。</w:t>
      </w:r>
    </w:p>
    <w:p w14:paraId="0AEFF36C">
      <w:pPr>
        <w:numPr>
          <w:ilvl w:val="0"/>
          <w:numId w:val="8"/>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lang w:val="en-US" w:eastAsia="zh-CN"/>
        </w:rPr>
        <w:t xml:space="preserve"> </w:t>
      </w:r>
      <w:r>
        <w:rPr>
          <w:rFonts w:hint="eastAsia" w:ascii="宋体" w:hAnsi="宋体" w:cs="宋体"/>
          <w:color w:val="auto"/>
        </w:rPr>
        <w:t>离子源具有卡槽锁定功能，从质谱仪上取出离子源或将离子源安装回质谱仪，只需旋转180度，即可实现自动位置对准和电路连接，方便维护操作</w:t>
      </w:r>
      <w:r>
        <w:rPr>
          <w:rFonts w:hint="eastAsia" w:ascii="宋体" w:hAnsi="宋体" w:cs="宋体"/>
          <w:color w:val="auto"/>
          <w:lang w:val="en-US" w:eastAsia="zh-CN"/>
        </w:rPr>
        <w:t>。</w:t>
      </w:r>
    </w:p>
    <w:p w14:paraId="55E63394">
      <w:pPr>
        <w:numPr>
          <w:ilvl w:val="0"/>
          <w:numId w:val="8"/>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lang w:val="en-US" w:eastAsia="zh-CN"/>
        </w:rPr>
        <w:t>具有先进的离子透镜系统，有效聚焦离子，提高灵敏度。</w:t>
      </w:r>
    </w:p>
    <w:p w14:paraId="68994E37">
      <w:pPr>
        <w:numPr>
          <w:ilvl w:val="0"/>
          <w:numId w:val="8"/>
        </w:numPr>
        <w:spacing w:line="360" w:lineRule="auto"/>
        <w:ind w:left="425" w:leftChars="0" w:firstLine="55" w:firstLineChars="0"/>
        <w:rPr>
          <w:rFonts w:hint="eastAsia" w:ascii="宋体" w:hAnsi="宋体" w:cs="宋体"/>
          <w:color w:val="auto"/>
          <w:lang w:val="en-US" w:eastAsia="zh-CN"/>
        </w:rPr>
      </w:pPr>
      <w:r>
        <w:rPr>
          <w:rFonts w:hint="eastAsia"/>
          <w:color w:val="auto"/>
        </w:rPr>
        <w:t>▲</w:t>
      </w:r>
      <w:r>
        <w:rPr>
          <w:rFonts w:hint="eastAsia" w:ascii="宋体" w:hAnsi="宋体" w:cs="宋体"/>
          <w:color w:val="auto"/>
        </w:rPr>
        <w:t>长寿命灯丝，加入金属铼和惰性涂层，保证灯丝的长使用寿命，</w:t>
      </w:r>
      <w:r>
        <w:rPr>
          <w:rFonts w:hint="eastAsia" w:ascii="宋体" w:hAnsi="宋体" w:cs="宋体"/>
          <w:color w:val="auto"/>
          <w:lang w:val="en-US" w:eastAsia="zh-CN"/>
        </w:rPr>
        <w:t>灯丝工作时间≥4000小时；</w:t>
      </w:r>
      <w:r>
        <w:rPr>
          <w:rFonts w:hint="eastAsia" w:asciiTheme="minorEastAsia" w:hAnsiTheme="minorEastAsia" w:eastAsiaTheme="minorEastAsia" w:cstheme="minorEastAsia"/>
          <w:color w:val="auto"/>
        </w:rPr>
        <w:t>（</w:t>
      </w:r>
      <w:r>
        <w:rPr>
          <w:rFonts w:hint="eastAsia" w:ascii="宋体" w:hAnsi="宋体" w:cs="宋体"/>
          <w:b/>
          <w:bCs/>
          <w:color w:val="auto"/>
          <w:kern w:val="0"/>
          <w:szCs w:val="21"/>
        </w:rPr>
        <w:t>须提供以下任一证明材料并加盖投标人公章:①提供具备CMA或CNAS标志的检测报告复印件；②提供产品制造商官网相应功能截图，同时提供官网链接地址；③制造商产品说明书或使用手册，或制造厂商公开发布的产品功能介绍资料；④产品对应功能的照片或产品功能操作界面图片。未按要求提供证明材料视为不响应。）</w:t>
      </w:r>
    </w:p>
    <w:p w14:paraId="41E1A97C">
      <w:pPr>
        <w:numPr>
          <w:ilvl w:val="0"/>
          <w:numId w:val="8"/>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lang w:val="en-US" w:eastAsia="zh-CN"/>
        </w:rPr>
        <w:t>离子源温度：50</w:t>
      </w:r>
      <w:r>
        <w:rPr>
          <w:rFonts w:hint="eastAsia" w:ascii="微软雅黑" w:hAnsi="微软雅黑" w:eastAsia="微软雅黑" w:cs="微软雅黑"/>
          <w:color w:val="auto"/>
          <w:lang w:val="en-US" w:eastAsia="zh-CN"/>
        </w:rPr>
        <w:t>~</w:t>
      </w:r>
      <w:r>
        <w:rPr>
          <w:rFonts w:hint="eastAsia" w:ascii="宋体" w:hAnsi="宋体" w:cs="宋体"/>
          <w:color w:val="auto"/>
          <w:lang w:val="en-US" w:eastAsia="zh-CN"/>
        </w:rPr>
        <w:t>350℃；高温传输线：50</w:t>
      </w:r>
      <w:r>
        <w:rPr>
          <w:rFonts w:hint="eastAsia" w:ascii="微软雅黑" w:hAnsi="微软雅黑" w:eastAsia="微软雅黑" w:cs="微软雅黑"/>
          <w:color w:val="auto"/>
          <w:lang w:val="en-US" w:eastAsia="zh-CN"/>
        </w:rPr>
        <w:t>~</w:t>
      </w:r>
      <w:r>
        <w:rPr>
          <w:rFonts w:hint="eastAsia" w:ascii="宋体" w:hAnsi="宋体" w:cs="宋体"/>
          <w:color w:val="auto"/>
          <w:lang w:val="en-US" w:eastAsia="zh-CN"/>
        </w:rPr>
        <w:t xml:space="preserve">350℃。    </w:t>
      </w:r>
    </w:p>
    <w:p w14:paraId="71BC3276">
      <w:pPr>
        <w:numPr>
          <w:ilvl w:val="0"/>
          <w:numId w:val="8"/>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lang w:val="en-US" w:eastAsia="zh-CN"/>
        </w:rPr>
        <w:t>EI源和CI源切换时，只需整体更换离子源即可，方便操作。</w:t>
      </w:r>
    </w:p>
    <w:p w14:paraId="68AE7968">
      <w:pPr>
        <w:numPr>
          <w:ilvl w:val="0"/>
          <w:numId w:val="7"/>
        </w:numPr>
        <w:spacing w:line="360" w:lineRule="auto"/>
        <w:ind w:left="0" w:leftChars="0" w:firstLine="420" w:firstLineChars="200"/>
        <w:rPr>
          <w:rFonts w:hint="eastAsia"/>
          <w:color w:val="auto"/>
          <w:lang w:val="en-US" w:eastAsia="zh-CN"/>
        </w:rPr>
      </w:pPr>
      <w:r>
        <w:rPr>
          <w:rFonts w:hint="eastAsia"/>
          <w:color w:val="auto"/>
          <w:lang w:val="en-US" w:eastAsia="zh-CN"/>
        </w:rPr>
        <w:t>质量分析器</w:t>
      </w:r>
    </w:p>
    <w:p w14:paraId="2567D902">
      <w:pPr>
        <w:numPr>
          <w:ilvl w:val="0"/>
          <w:numId w:val="9"/>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lang w:val="en-US" w:eastAsia="zh-CN"/>
        </w:rPr>
        <w:t>全实钼金属预四极杆和分析四级杆，高惰性。</w:t>
      </w:r>
    </w:p>
    <w:p w14:paraId="555B27D5">
      <w:pPr>
        <w:numPr>
          <w:ilvl w:val="0"/>
          <w:numId w:val="9"/>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lang w:val="en-US" w:eastAsia="zh-CN"/>
        </w:rPr>
        <w:t>预四极杆和分析四级杆都可打磨可清洗，无需更换，降低使用和维护成本。</w:t>
      </w:r>
    </w:p>
    <w:p w14:paraId="440D8257">
      <w:pPr>
        <w:numPr>
          <w:ilvl w:val="0"/>
          <w:numId w:val="9"/>
        </w:numPr>
        <w:spacing w:line="360" w:lineRule="auto"/>
        <w:ind w:left="425" w:leftChars="0" w:firstLine="55" w:firstLineChars="0"/>
        <w:rPr>
          <w:rFonts w:hint="eastAsia" w:ascii="宋体" w:hAnsi="宋体" w:cs="宋体"/>
          <w:color w:val="auto"/>
          <w:lang w:val="en-US" w:eastAsia="zh-CN"/>
        </w:rPr>
      </w:pPr>
      <w:r>
        <w:rPr>
          <w:rFonts w:hint="eastAsia"/>
          <w:color w:val="auto"/>
        </w:rPr>
        <w:t>▲</w:t>
      </w:r>
      <w:r>
        <w:rPr>
          <w:rFonts w:hint="eastAsia" w:ascii="宋体" w:hAnsi="宋体" w:cs="宋体"/>
          <w:color w:val="auto"/>
          <w:lang w:val="en-US" w:eastAsia="zh-CN"/>
        </w:rPr>
        <w:t>质量范围：1-1200u；（</w:t>
      </w:r>
      <w:r>
        <w:rPr>
          <w:rFonts w:hint="eastAsia" w:ascii="宋体" w:hAnsi="宋体" w:cs="宋体"/>
          <w:b/>
          <w:bCs/>
          <w:color w:val="auto"/>
          <w:kern w:val="0"/>
          <w:szCs w:val="21"/>
        </w:rPr>
        <w:t>须提供以下任一证明材料并加盖投标人公章:①提供具备CMA或CNAS标志的检测报告复印件；②提供产品制造商官网相应功能截图，同时提供官网链接地址；③制造商产品说明书或使用手册，或制造厂商公开发布的产品功能介绍资料；④产品对应功能的照片或产品功能操作界面图片。未按要求提供证明材料视为不响应。）</w:t>
      </w:r>
    </w:p>
    <w:p w14:paraId="10E3E4C3">
      <w:pPr>
        <w:numPr>
          <w:ilvl w:val="0"/>
          <w:numId w:val="9"/>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lang w:val="en-US" w:eastAsia="zh-CN"/>
        </w:rPr>
        <w:t>扫描速率：≥12500Da/sec。</w:t>
      </w:r>
    </w:p>
    <w:p w14:paraId="54171922">
      <w:pPr>
        <w:numPr>
          <w:ilvl w:val="0"/>
          <w:numId w:val="7"/>
        </w:numPr>
        <w:spacing w:line="360" w:lineRule="auto"/>
        <w:ind w:left="0" w:leftChars="0" w:firstLine="420" w:firstLineChars="200"/>
        <w:rPr>
          <w:rFonts w:hint="eastAsia"/>
          <w:color w:val="auto"/>
          <w:lang w:val="en-US" w:eastAsia="zh-CN"/>
        </w:rPr>
      </w:pPr>
      <w:r>
        <w:rPr>
          <w:rFonts w:hint="eastAsia"/>
          <w:color w:val="auto"/>
          <w:lang w:val="en-US" w:eastAsia="zh-CN"/>
        </w:rPr>
        <w:t>检测器</w:t>
      </w:r>
    </w:p>
    <w:p w14:paraId="7F303735">
      <w:pPr>
        <w:numPr>
          <w:ilvl w:val="0"/>
          <w:numId w:val="10"/>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lang w:val="en-US" w:eastAsia="zh-CN"/>
        </w:rPr>
        <w:t>检测器前端具有先进的光学离子系统，可有效聚焦并过滤带电干扰。</w:t>
      </w:r>
    </w:p>
    <w:p w14:paraId="1790266C">
      <w:pPr>
        <w:numPr>
          <w:ilvl w:val="0"/>
          <w:numId w:val="10"/>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lang w:val="en-US" w:eastAsia="zh-CN"/>
        </w:rPr>
        <w:t>▲≥270度的离子转角设计，使中性离子的干扰减少到最小；</w:t>
      </w:r>
      <w:r>
        <w:rPr>
          <w:rFonts w:hint="eastAsia" w:asciiTheme="minorEastAsia" w:hAnsiTheme="minorEastAsia" w:eastAsiaTheme="minorEastAsia" w:cstheme="minorEastAsia"/>
          <w:color w:val="auto"/>
        </w:rPr>
        <w:t>（</w:t>
      </w:r>
      <w:r>
        <w:rPr>
          <w:rFonts w:hint="eastAsia" w:ascii="宋体" w:hAnsi="宋体" w:cs="宋体"/>
          <w:b/>
          <w:bCs/>
          <w:color w:val="auto"/>
          <w:kern w:val="0"/>
          <w:szCs w:val="21"/>
        </w:rPr>
        <w:t>须提供以下任一证明材料并加盖投标人公章:①提供具备CMA或CNAS标志的检测报告复印件；②提供产品制造商官网相应功能截图，同时提供官网链接地址；③制造商产品说明书或使用手册，或制造厂商公开发布的产品功能介绍资料；④产品对应功能的照片或产品功能操作界面图片。未按要求提供证明材料视为不响应。）</w:t>
      </w:r>
    </w:p>
    <w:p w14:paraId="7218E97C">
      <w:pPr>
        <w:numPr>
          <w:ilvl w:val="0"/>
          <w:numId w:val="10"/>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rPr>
        <w:t>高能打拿极背对离子出口以及高电压屏蔽又减少高电场引起的背景噪音，提高灵敏度</w:t>
      </w:r>
      <w:r>
        <w:rPr>
          <w:rFonts w:hint="eastAsia" w:ascii="宋体" w:hAnsi="宋体" w:cs="宋体"/>
          <w:color w:val="auto"/>
          <w:lang w:val="en-US" w:eastAsia="zh-CN"/>
        </w:rPr>
        <w:t>。</w:t>
      </w:r>
    </w:p>
    <w:p w14:paraId="4A7F104C">
      <w:pPr>
        <w:numPr>
          <w:ilvl w:val="0"/>
          <w:numId w:val="10"/>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rPr>
        <w:t>离散型电子倍增检测器，使电信号放大过程产生更小的电磁干扰，并具有高抗污染能力</w:t>
      </w:r>
      <w:r>
        <w:rPr>
          <w:rFonts w:hint="eastAsia" w:ascii="宋体" w:hAnsi="宋体" w:cs="宋体"/>
          <w:color w:val="auto"/>
          <w:lang w:val="en-US" w:eastAsia="zh-CN"/>
        </w:rPr>
        <w:t>。</w:t>
      </w:r>
    </w:p>
    <w:p w14:paraId="699E2CFB">
      <w:pPr>
        <w:numPr>
          <w:ilvl w:val="0"/>
          <w:numId w:val="10"/>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lang w:val="en-US" w:eastAsia="zh-CN"/>
        </w:rPr>
        <w:t>超宽线性范围：</w:t>
      </w:r>
      <w:r>
        <w:rPr>
          <w:rFonts w:hint="eastAsia" w:ascii="宋体" w:hAnsi="宋体" w:cs="宋体"/>
          <w:color w:val="auto"/>
        </w:rPr>
        <w:t>≥10</w:t>
      </w:r>
      <w:r>
        <w:rPr>
          <w:rFonts w:hint="eastAsia" w:ascii="宋体" w:hAnsi="宋体" w:cs="宋体"/>
          <w:color w:val="auto"/>
          <w:vertAlign w:val="superscript"/>
        </w:rPr>
        <w:t>6</w:t>
      </w:r>
      <w:r>
        <w:rPr>
          <w:rFonts w:hint="eastAsia" w:ascii="宋体" w:hAnsi="宋体" w:cs="宋体"/>
          <w:color w:val="auto"/>
          <w:lang w:val="en-US" w:eastAsia="zh-CN"/>
        </w:rPr>
        <w:t>。</w:t>
      </w:r>
    </w:p>
    <w:p w14:paraId="1CF2C79B">
      <w:pPr>
        <w:numPr>
          <w:ilvl w:val="0"/>
          <w:numId w:val="10"/>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rPr>
        <w:t>★灵敏度指标：EI全扫描检测1pg八氟萘，信噪比≥1500:1 RMS</w:t>
      </w:r>
      <w:r>
        <w:rPr>
          <w:rFonts w:hint="eastAsia" w:ascii="宋体" w:hAnsi="宋体" w:cs="宋体"/>
          <w:color w:val="auto"/>
          <w:lang w:val="en-US" w:eastAsia="zh-CN"/>
        </w:rPr>
        <w:t>。</w:t>
      </w:r>
    </w:p>
    <w:p w14:paraId="69836B0E">
      <w:pPr>
        <w:numPr>
          <w:ilvl w:val="0"/>
          <w:numId w:val="7"/>
        </w:numPr>
        <w:spacing w:line="360" w:lineRule="auto"/>
        <w:ind w:left="0" w:leftChars="0" w:firstLine="420" w:firstLineChars="200"/>
        <w:rPr>
          <w:rFonts w:hint="eastAsia"/>
          <w:color w:val="auto"/>
          <w:lang w:val="en-US" w:eastAsia="zh-CN"/>
        </w:rPr>
      </w:pPr>
      <w:r>
        <w:rPr>
          <w:rFonts w:hint="eastAsia"/>
          <w:color w:val="auto"/>
          <w:lang w:val="en-US" w:eastAsia="zh-CN"/>
        </w:rPr>
        <w:t>真空系统</w:t>
      </w:r>
    </w:p>
    <w:p w14:paraId="0A2236E9">
      <w:pPr>
        <w:numPr>
          <w:ilvl w:val="0"/>
          <w:numId w:val="11"/>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rPr>
        <w:t>整体化紧凑的真空腔设计，离子源和真空腔密封尺寸≤70mm</w:t>
      </w:r>
      <w:r>
        <w:rPr>
          <w:rFonts w:hint="eastAsia" w:ascii="宋体" w:hAnsi="宋体" w:cs="宋体"/>
          <w:color w:val="auto"/>
          <w:lang w:val="en-US" w:eastAsia="zh-CN"/>
        </w:rPr>
        <w:t xml:space="preserve">。 </w:t>
      </w:r>
    </w:p>
    <w:p w14:paraId="6DFFE497">
      <w:pPr>
        <w:numPr>
          <w:ilvl w:val="0"/>
          <w:numId w:val="11"/>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rPr>
        <w:t>▲</w:t>
      </w:r>
      <w:r>
        <w:rPr>
          <w:rFonts w:ascii="Times New Roman" w:hAnsi="Times New Roman" w:cs="Times New Roman"/>
          <w:color w:val="auto"/>
        </w:rPr>
        <w:t>配置</w:t>
      </w:r>
      <w:r>
        <w:rPr>
          <w:rFonts w:hint="eastAsia" w:ascii="宋体" w:hAnsi="宋体" w:cs="宋体"/>
          <w:color w:val="auto"/>
        </w:rPr>
        <w:t>≥340L/s的大容量高分子涡轮泵，从抽真空开始 3分钟之内，真空度≤</w:t>
      </w:r>
      <w:r>
        <w:rPr>
          <w:rFonts w:ascii="Times New Roman" w:hAnsi="Times New Roman" w:cs="Times New Roman"/>
          <w:color w:val="auto"/>
        </w:rPr>
        <w:t>3*10</w:t>
      </w:r>
      <w:r>
        <w:rPr>
          <w:rFonts w:ascii="Times New Roman" w:hAnsi="Times New Roman" w:cs="Times New Roman"/>
          <w:color w:val="auto"/>
          <w:vertAlign w:val="superscript"/>
        </w:rPr>
        <w:t>-5</w:t>
      </w:r>
      <w:r>
        <w:rPr>
          <w:rFonts w:ascii="Times New Roman" w:hAnsi="Times New Roman" w:cs="Times New Roman"/>
          <w:color w:val="auto"/>
        </w:rPr>
        <w:t>Torr</w:t>
      </w:r>
      <w:r>
        <w:rPr>
          <w:rFonts w:hint="eastAsia" w:ascii="宋体" w:hAnsi="宋体" w:cs="宋体"/>
          <w:color w:val="auto"/>
        </w:rPr>
        <w:t>即可达到空气/水本底值</w:t>
      </w:r>
      <w:r>
        <w:rPr>
          <w:rFonts w:hint="eastAsia" w:ascii="Times New Roman" w:hAnsi="Times New Roman" w:cs="Times New Roman"/>
          <w:color w:val="auto"/>
          <w:lang w:val="en-US" w:eastAsia="zh-CN"/>
        </w:rPr>
        <w:t>；</w:t>
      </w:r>
      <w:r>
        <w:rPr>
          <w:rFonts w:hint="eastAsia" w:asciiTheme="minorEastAsia" w:hAnsiTheme="minorEastAsia" w:eastAsiaTheme="minorEastAsia" w:cstheme="minorEastAsia"/>
          <w:color w:val="auto"/>
        </w:rPr>
        <w:t>（</w:t>
      </w:r>
      <w:r>
        <w:rPr>
          <w:rFonts w:hint="eastAsia" w:ascii="宋体" w:hAnsi="宋体" w:cs="宋体"/>
          <w:b/>
          <w:bCs/>
          <w:color w:val="auto"/>
          <w:kern w:val="0"/>
          <w:szCs w:val="21"/>
        </w:rPr>
        <w:t>须提供以下任一证明材料并加盖投标人公章:①提供具备CMA或CNAS标志的检测报告复印件；②提供产品制造商官网相应功能截图，同时提供官网链接地址；③制造商产品说明书或使用手册，或制造厂商公开发布的产品功能介绍资料；④产品对应功能的照片或产品功能操作界面图片。未按要求提供证明材料视为不响应。）</w:t>
      </w:r>
    </w:p>
    <w:p w14:paraId="33A51AB7">
      <w:pPr>
        <w:numPr>
          <w:ilvl w:val="0"/>
          <w:numId w:val="11"/>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lang w:val="en-US" w:eastAsia="zh-CN"/>
        </w:rPr>
        <w:t>标配宽范围的真空计，可实时观察真空度变化，方便溶剂延迟时间等的确定。</w:t>
      </w:r>
    </w:p>
    <w:p w14:paraId="63438689">
      <w:pPr>
        <w:numPr>
          <w:ilvl w:val="0"/>
          <w:numId w:val="11"/>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rPr>
        <w:t>前级机械泵抽速 ≥3.3 m</w:t>
      </w:r>
      <w:r>
        <w:rPr>
          <w:rFonts w:hint="eastAsia" w:ascii="宋体" w:hAnsi="宋体" w:cs="宋体"/>
          <w:color w:val="auto"/>
          <w:vertAlign w:val="superscript"/>
        </w:rPr>
        <w:t>3</w:t>
      </w:r>
      <w:r>
        <w:rPr>
          <w:rFonts w:hint="eastAsia" w:ascii="宋体" w:hAnsi="宋体" w:cs="宋体"/>
          <w:color w:val="auto"/>
        </w:rPr>
        <w:t>/h</w:t>
      </w:r>
      <w:r>
        <w:rPr>
          <w:rFonts w:hint="eastAsia" w:ascii="宋体" w:hAnsi="宋体" w:cs="宋体"/>
          <w:color w:val="auto"/>
          <w:lang w:val="en-US" w:eastAsia="zh-CN"/>
        </w:rPr>
        <w:t>。</w:t>
      </w:r>
    </w:p>
    <w:p w14:paraId="079C3D89">
      <w:pPr>
        <w:numPr>
          <w:ilvl w:val="0"/>
          <w:numId w:val="11"/>
        </w:numPr>
        <w:spacing w:line="360" w:lineRule="auto"/>
        <w:ind w:left="425" w:leftChars="0" w:firstLine="55" w:firstLineChars="0"/>
        <w:rPr>
          <w:rFonts w:hint="eastAsia" w:ascii="宋体" w:hAnsi="宋体" w:cs="宋体"/>
          <w:color w:val="auto"/>
          <w:lang w:val="en-US" w:eastAsia="zh-CN"/>
        </w:rPr>
      </w:pPr>
      <w:r>
        <w:rPr>
          <w:rFonts w:hint="eastAsia" w:ascii="宋体" w:hAnsi="宋体" w:cs="宋体"/>
          <w:color w:val="auto"/>
        </w:rPr>
        <w:t>▲具有氮气保护功能和快速卸真空功能，从降温到卸真空完成≤10mins</w:t>
      </w:r>
      <w:r>
        <w:rPr>
          <w:rFonts w:hint="eastAsia" w:ascii="宋体" w:hAnsi="宋体" w:cs="宋体"/>
          <w:color w:val="auto"/>
          <w:lang w:val="en-US" w:eastAsia="zh-CN"/>
        </w:rPr>
        <w:t>。</w:t>
      </w:r>
    </w:p>
    <w:p w14:paraId="6E30A79F">
      <w:pPr>
        <w:numPr>
          <w:ilvl w:val="0"/>
          <w:numId w:val="0"/>
        </w:numPr>
        <w:spacing w:line="360" w:lineRule="auto"/>
        <w:ind w:left="295" w:leftChars="0"/>
        <w:rPr>
          <w:rFonts w:hint="eastAsia" w:ascii="宋体" w:hAnsi="宋体" w:cs="宋体"/>
          <w:color w:val="auto"/>
          <w:lang w:val="en-US" w:eastAsia="zh-CN"/>
        </w:rPr>
      </w:pPr>
      <w:r>
        <w:rPr>
          <w:rFonts w:hint="eastAsia" w:asciiTheme="minorEastAsia" w:hAnsiTheme="minorEastAsia" w:eastAsiaTheme="minorEastAsia" w:cstheme="minorEastAsia"/>
          <w:color w:val="auto"/>
          <w:lang w:val="en-US" w:eastAsia="zh-CN"/>
        </w:rPr>
        <w:t>5</w:t>
      </w:r>
      <w:r>
        <w:rPr>
          <w:rFonts w:hint="eastAsia" w:asciiTheme="minorEastAsia" w:hAnsiTheme="minorEastAsia" w:eastAsiaTheme="minorEastAsia" w:cstheme="minorEastAsia"/>
          <w:color w:val="auto"/>
        </w:rPr>
        <w:t>）</w:t>
      </w:r>
      <w:r>
        <w:rPr>
          <w:rFonts w:hint="eastAsia" w:ascii="宋体" w:hAnsi="宋体" w:cs="宋体"/>
          <w:color w:val="auto"/>
          <w:lang w:val="en-US" w:eastAsia="zh-CN"/>
        </w:rPr>
        <w:t>液体自动进样器</w:t>
      </w:r>
    </w:p>
    <w:p w14:paraId="04084FB2">
      <w:pPr>
        <w:numPr>
          <w:ilvl w:val="0"/>
          <w:numId w:val="12"/>
        </w:numPr>
        <w:spacing w:line="360" w:lineRule="auto"/>
        <w:ind w:left="0" w:leftChars="0" w:firstLine="420" w:firstLineChars="200"/>
        <w:rPr>
          <w:rFonts w:hint="eastAsia"/>
          <w:color w:val="auto"/>
          <w:lang w:val="en-US" w:eastAsia="zh-CN"/>
        </w:rPr>
      </w:pPr>
      <w:r>
        <w:rPr>
          <w:rFonts w:hint="eastAsia"/>
          <w:color w:val="auto"/>
        </w:rPr>
        <w:t>★样品瓶位数（含洗针位）：≥120位</w:t>
      </w:r>
      <w:r>
        <w:rPr>
          <w:rFonts w:hint="eastAsia"/>
          <w:color w:val="auto"/>
          <w:lang w:val="en-US" w:eastAsia="zh-CN"/>
        </w:rPr>
        <w:t>。</w:t>
      </w:r>
    </w:p>
    <w:p w14:paraId="3B096B3E">
      <w:pPr>
        <w:numPr>
          <w:ilvl w:val="0"/>
          <w:numId w:val="12"/>
        </w:numPr>
        <w:spacing w:line="360" w:lineRule="auto"/>
        <w:ind w:left="0" w:leftChars="0" w:firstLine="420" w:firstLineChars="200"/>
        <w:rPr>
          <w:rFonts w:hint="eastAsia"/>
          <w:color w:val="auto"/>
          <w:lang w:val="en-US" w:eastAsia="zh-CN"/>
        </w:rPr>
      </w:pPr>
      <w:r>
        <w:rPr>
          <w:rFonts w:hint="eastAsia"/>
          <w:color w:val="auto"/>
        </w:rPr>
        <w:t>进样量范围：液体进样量范围：通常介于0.05-50μL之间</w:t>
      </w:r>
      <w:r>
        <w:rPr>
          <w:rFonts w:hint="eastAsia"/>
          <w:color w:val="auto"/>
          <w:lang w:val="en-US" w:eastAsia="zh-CN"/>
        </w:rPr>
        <w:t xml:space="preserve">。 </w:t>
      </w:r>
    </w:p>
    <w:p w14:paraId="03ADAD0A">
      <w:pPr>
        <w:numPr>
          <w:ilvl w:val="0"/>
          <w:numId w:val="12"/>
        </w:numPr>
        <w:spacing w:line="360" w:lineRule="auto"/>
        <w:ind w:left="0" w:leftChars="0" w:firstLine="420" w:firstLineChars="200"/>
        <w:rPr>
          <w:rFonts w:hint="eastAsia"/>
          <w:color w:val="auto"/>
          <w:lang w:val="en-US" w:eastAsia="zh-CN"/>
        </w:rPr>
      </w:pPr>
      <w:r>
        <w:rPr>
          <w:rFonts w:hint="eastAsia"/>
          <w:color w:val="auto"/>
        </w:rPr>
        <w:t>进样速度：3种模式:高速/低速/正常速度</w:t>
      </w:r>
      <w:r>
        <w:rPr>
          <w:rFonts w:hint="eastAsia"/>
          <w:color w:val="auto"/>
          <w:lang w:val="en-US" w:eastAsia="zh-CN"/>
        </w:rPr>
        <w:t>。</w:t>
      </w:r>
    </w:p>
    <w:p w14:paraId="670DB74C">
      <w:pPr>
        <w:numPr>
          <w:ilvl w:val="0"/>
          <w:numId w:val="12"/>
        </w:numPr>
        <w:spacing w:line="360" w:lineRule="auto"/>
        <w:ind w:left="0" w:leftChars="0" w:firstLine="420" w:firstLineChars="200"/>
        <w:rPr>
          <w:rFonts w:hint="eastAsia"/>
          <w:color w:val="auto"/>
          <w:lang w:val="en-US" w:eastAsia="zh-CN"/>
        </w:rPr>
      </w:pPr>
      <w:r>
        <w:rPr>
          <w:rFonts w:hint="eastAsia"/>
          <w:color w:val="auto"/>
        </w:rPr>
        <w:t>可在100ms内快速进样</w:t>
      </w:r>
      <w:r>
        <w:rPr>
          <w:rFonts w:hint="eastAsia"/>
          <w:color w:val="auto"/>
          <w:lang w:val="en-US" w:eastAsia="zh-CN"/>
        </w:rPr>
        <w:t>。</w:t>
      </w:r>
    </w:p>
    <w:p w14:paraId="7D750C31">
      <w:pPr>
        <w:numPr>
          <w:ilvl w:val="0"/>
          <w:numId w:val="12"/>
        </w:numPr>
        <w:spacing w:line="360" w:lineRule="auto"/>
        <w:ind w:left="0" w:leftChars="0" w:firstLine="420" w:firstLineChars="200"/>
        <w:rPr>
          <w:rFonts w:hint="eastAsia"/>
          <w:color w:val="auto"/>
          <w:lang w:val="en-US" w:eastAsia="zh-CN"/>
        </w:rPr>
      </w:pPr>
      <w:r>
        <w:rPr>
          <w:rFonts w:hint="eastAsia"/>
          <w:color w:val="auto"/>
        </w:rPr>
        <w:t>最大可支持50μL进样针</w:t>
      </w:r>
      <w:r>
        <w:rPr>
          <w:rFonts w:hint="eastAsia"/>
          <w:color w:val="auto"/>
          <w:lang w:val="en-US" w:eastAsia="zh-CN"/>
        </w:rPr>
        <w:t>。</w:t>
      </w:r>
    </w:p>
    <w:p w14:paraId="52294081">
      <w:pPr>
        <w:numPr>
          <w:ilvl w:val="0"/>
          <w:numId w:val="0"/>
        </w:numPr>
        <w:spacing w:line="360" w:lineRule="auto"/>
        <w:ind w:left="295" w:leftChars="0"/>
        <w:rPr>
          <w:rFonts w:hint="eastAsia" w:ascii="宋体" w:hAnsi="宋体" w:cs="宋体"/>
          <w:color w:val="auto"/>
          <w:lang w:val="en-US" w:eastAsia="zh-CN"/>
        </w:rPr>
      </w:pPr>
      <w:r>
        <w:rPr>
          <w:rFonts w:hint="eastAsia" w:asciiTheme="minorEastAsia" w:hAnsiTheme="minorEastAsia" w:eastAsiaTheme="minorEastAsia" w:cstheme="minorEastAsia"/>
          <w:color w:val="auto"/>
          <w:lang w:val="en-US" w:eastAsia="zh-CN"/>
        </w:rPr>
        <w:t>6</w:t>
      </w:r>
      <w:r>
        <w:rPr>
          <w:rFonts w:hint="eastAsia" w:asciiTheme="minorEastAsia" w:hAnsiTheme="minorEastAsia" w:eastAsiaTheme="minorEastAsia" w:cstheme="minorEastAsia"/>
          <w:color w:val="auto"/>
        </w:rPr>
        <w:t>）</w:t>
      </w:r>
      <w:r>
        <w:rPr>
          <w:rFonts w:hint="eastAsia" w:ascii="宋体" w:hAnsi="宋体" w:cs="宋体"/>
          <w:color w:val="auto"/>
          <w:lang w:val="en-US" w:eastAsia="zh-CN"/>
        </w:rPr>
        <w:t>控制管理工作站</w:t>
      </w:r>
    </w:p>
    <w:p w14:paraId="714D5B6B">
      <w:pPr>
        <w:numPr>
          <w:ilvl w:val="0"/>
          <w:numId w:val="13"/>
        </w:numPr>
        <w:spacing w:line="360" w:lineRule="auto"/>
        <w:ind w:left="0" w:leftChars="0" w:firstLine="420" w:firstLineChars="200"/>
        <w:rPr>
          <w:rFonts w:hint="eastAsia"/>
          <w:color w:val="auto"/>
          <w:lang w:val="en-US" w:eastAsia="zh-CN"/>
        </w:rPr>
      </w:pPr>
      <w:r>
        <w:rPr>
          <w:rFonts w:hint="eastAsia"/>
          <w:color w:val="auto"/>
        </w:rPr>
        <w:t>工作站软件可同时控制气相色谱仪和质谱仪及热裂解仪，并进行数据采集和处理，以及数据信息输出。要求工作站内存≥ 16GB，可以加内存条，硬盘≥ 512GB，与仪器控制软件、数据分析软件具有良好的兼容性，可自动双面输出纸质分析结果</w:t>
      </w:r>
      <w:r>
        <w:rPr>
          <w:rFonts w:hint="eastAsia"/>
          <w:color w:val="auto"/>
          <w:lang w:val="en-US" w:eastAsia="zh-CN"/>
        </w:rPr>
        <w:t>。</w:t>
      </w:r>
    </w:p>
    <w:p w14:paraId="2676ED49">
      <w:pPr>
        <w:numPr>
          <w:ilvl w:val="0"/>
          <w:numId w:val="13"/>
        </w:numPr>
        <w:spacing w:line="360" w:lineRule="auto"/>
        <w:ind w:left="0" w:leftChars="0" w:firstLine="420" w:firstLineChars="200"/>
        <w:rPr>
          <w:rFonts w:hint="eastAsia"/>
          <w:color w:val="auto"/>
          <w:lang w:val="en-US" w:eastAsia="zh-CN"/>
        </w:rPr>
      </w:pPr>
      <w:r>
        <w:rPr>
          <w:rFonts w:hint="eastAsia"/>
          <w:color w:val="auto"/>
        </w:rPr>
        <w:t>一次进样可同时采集EI全扫描和选择离子扫描的数据，具有质谱数据谱库检索功能和质谱定量功能，并可提供多种报告格式的选择</w:t>
      </w:r>
      <w:r>
        <w:rPr>
          <w:rFonts w:hint="eastAsia"/>
          <w:color w:val="auto"/>
          <w:lang w:val="en-US" w:eastAsia="zh-CN"/>
        </w:rPr>
        <w:t>。</w:t>
      </w:r>
    </w:p>
    <w:p w14:paraId="55910BFF">
      <w:pPr>
        <w:numPr>
          <w:ilvl w:val="0"/>
          <w:numId w:val="13"/>
        </w:numPr>
        <w:spacing w:line="360" w:lineRule="auto"/>
        <w:ind w:left="0" w:leftChars="0" w:firstLine="420" w:firstLineChars="200"/>
        <w:rPr>
          <w:rFonts w:hint="eastAsia" w:eastAsia="宋体"/>
          <w:color w:val="auto"/>
          <w:lang w:eastAsia="zh-CN"/>
        </w:rPr>
      </w:pPr>
      <w:r>
        <w:rPr>
          <w:rFonts w:hint="eastAsia" w:eastAsia="宋体"/>
          <w:color w:val="auto"/>
        </w:rPr>
        <w:t>内置数据库，强大的数据管理功能，保证数据的完整性和安全性。原始数据、仪器条件和处理参数等信息的关联由软件自动建立，用户无需记忆就能找到相应的信息。在数据库中，用户可以采用各种检索方式从大量的数据中取出想要的数据</w:t>
      </w:r>
      <w:r>
        <w:rPr>
          <w:rFonts w:hint="eastAsia" w:eastAsia="宋体"/>
          <w:color w:val="auto"/>
          <w:lang w:eastAsia="zh-CN"/>
        </w:rPr>
        <w:t>。</w:t>
      </w:r>
    </w:p>
    <w:p w14:paraId="0CB02C1D">
      <w:pPr>
        <w:numPr>
          <w:ilvl w:val="0"/>
          <w:numId w:val="4"/>
        </w:numPr>
        <w:spacing w:line="360" w:lineRule="auto"/>
        <w:ind w:left="725" w:hanging="485"/>
        <w:rPr>
          <w:rFonts w:ascii="宋体" w:hAnsi="宋体"/>
          <w:b/>
          <w:color w:val="auto"/>
          <w:lang w:val="en-AU"/>
        </w:rPr>
      </w:pPr>
      <w:r>
        <w:rPr>
          <w:rFonts w:hint="eastAsia" w:asciiTheme="minorEastAsia" w:hAnsiTheme="minorEastAsia" w:eastAsiaTheme="minorEastAsia" w:cstheme="minorEastAsia"/>
          <w:b/>
          <w:bCs/>
          <w:color w:val="auto"/>
          <w:kern w:val="0"/>
          <w:szCs w:val="21"/>
        </w:rPr>
        <w:t>产品配置要求</w:t>
      </w:r>
    </w:p>
    <w:tbl>
      <w:tblPr>
        <w:tblStyle w:val="5"/>
        <w:tblW w:w="41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4982"/>
        <w:gridCol w:w="1346"/>
      </w:tblGrid>
      <w:tr w14:paraId="1432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F2F2F2"/>
            <w:vAlign w:val="center"/>
          </w:tcPr>
          <w:p w14:paraId="1602627E">
            <w:pPr>
              <w:jc w:val="center"/>
              <w:rPr>
                <w:rFonts w:ascii="Times New Roman" w:hAnsi="Times New Roman"/>
                <w:b/>
                <w:color w:val="auto"/>
                <w:szCs w:val="24"/>
              </w:rPr>
            </w:pPr>
            <w:r>
              <w:rPr>
                <w:rFonts w:hint="eastAsia" w:ascii="Times New Roman" w:hAnsi="Times New Roman"/>
                <w:b/>
                <w:color w:val="auto"/>
                <w:szCs w:val="24"/>
              </w:rPr>
              <w:t>序号</w:t>
            </w:r>
          </w:p>
        </w:tc>
        <w:tc>
          <w:tcPr>
            <w:tcW w:w="3493" w:type="pct"/>
            <w:shd w:val="clear" w:color="auto" w:fill="F2F2F2"/>
            <w:vAlign w:val="center"/>
          </w:tcPr>
          <w:p w14:paraId="40E78DF7">
            <w:pPr>
              <w:jc w:val="center"/>
              <w:rPr>
                <w:rFonts w:ascii="Times New Roman" w:hAnsi="Times New Roman"/>
                <w:b/>
                <w:color w:val="auto"/>
                <w:szCs w:val="24"/>
              </w:rPr>
            </w:pPr>
            <w:r>
              <w:rPr>
                <w:rFonts w:hint="eastAsia" w:ascii="宋体" w:hAnsi="宋体"/>
                <w:b/>
                <w:color w:val="auto"/>
                <w:szCs w:val="21"/>
              </w:rPr>
              <w:t>采购清单</w:t>
            </w:r>
          </w:p>
        </w:tc>
        <w:tc>
          <w:tcPr>
            <w:tcW w:w="944" w:type="pct"/>
            <w:shd w:val="clear" w:color="auto" w:fill="F2F2F2"/>
            <w:vAlign w:val="center"/>
          </w:tcPr>
          <w:p w14:paraId="7FBBE58D">
            <w:pPr>
              <w:jc w:val="center"/>
              <w:rPr>
                <w:rFonts w:ascii="Times New Roman" w:hAnsi="Times New Roman"/>
                <w:b/>
                <w:color w:val="auto"/>
                <w:szCs w:val="24"/>
              </w:rPr>
            </w:pPr>
            <w:r>
              <w:rPr>
                <w:rFonts w:hint="eastAsia" w:ascii="Times New Roman" w:hAnsi="Times New Roman"/>
                <w:b/>
                <w:color w:val="auto"/>
                <w:szCs w:val="24"/>
              </w:rPr>
              <w:t>数量</w:t>
            </w:r>
          </w:p>
        </w:tc>
      </w:tr>
      <w:tr w14:paraId="7920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auto"/>
            <w:vAlign w:val="center"/>
          </w:tcPr>
          <w:p w14:paraId="185E8262">
            <w:pPr>
              <w:jc w:val="center"/>
              <w:rPr>
                <w:rFonts w:ascii="Times New Roman" w:hAnsi="Times New Roman"/>
                <w:color w:val="auto"/>
                <w:szCs w:val="24"/>
              </w:rPr>
            </w:pPr>
            <w:r>
              <w:rPr>
                <w:rFonts w:hint="eastAsia" w:ascii="Times New Roman" w:hAnsi="Times New Roman"/>
                <w:color w:val="auto"/>
                <w:szCs w:val="24"/>
              </w:rPr>
              <w:t>1</w:t>
            </w:r>
          </w:p>
        </w:tc>
        <w:tc>
          <w:tcPr>
            <w:tcW w:w="3493" w:type="pct"/>
            <w:shd w:val="clear" w:color="auto" w:fill="auto"/>
            <w:vAlign w:val="center"/>
          </w:tcPr>
          <w:p w14:paraId="304840E9">
            <w:pPr>
              <w:jc w:val="center"/>
              <w:rPr>
                <w:rFonts w:ascii="Times New Roman" w:hAnsi="Times New Roman"/>
                <w:color w:val="auto"/>
                <w:szCs w:val="24"/>
              </w:rPr>
            </w:pPr>
            <w:r>
              <w:rPr>
                <w:rFonts w:hint="eastAsia" w:ascii="宋体" w:hAnsi="宋体"/>
                <w:color w:val="auto"/>
                <w:szCs w:val="21"/>
              </w:rPr>
              <w:t>气相色谱质谱联用仪</w:t>
            </w:r>
          </w:p>
        </w:tc>
        <w:tc>
          <w:tcPr>
            <w:tcW w:w="944" w:type="pct"/>
            <w:shd w:val="clear" w:color="auto" w:fill="auto"/>
            <w:vAlign w:val="center"/>
          </w:tcPr>
          <w:p w14:paraId="76897D10">
            <w:pPr>
              <w:jc w:val="center"/>
              <w:rPr>
                <w:rFonts w:hint="eastAsia" w:ascii="Times New Roman" w:hAnsi="Times New Roman" w:eastAsiaTheme="minorEastAsia"/>
                <w:color w:val="auto"/>
                <w:szCs w:val="24"/>
                <w:lang w:eastAsia="zh-CN"/>
              </w:rPr>
            </w:pPr>
            <w:r>
              <w:rPr>
                <w:rFonts w:hint="eastAsia" w:asciiTheme="minorEastAsia" w:hAnsiTheme="minorEastAsia" w:eastAsiaTheme="minorEastAsia" w:cstheme="minorEastAsia"/>
                <w:color w:val="auto"/>
              </w:rPr>
              <w:t>1</w:t>
            </w:r>
            <w:r>
              <w:rPr>
                <w:rFonts w:hint="eastAsia" w:asciiTheme="minorEastAsia" w:hAnsiTheme="minorEastAsia" w:eastAsiaTheme="minorEastAsia" w:cstheme="minorEastAsia"/>
                <w:color w:val="auto"/>
                <w:lang w:val="en-US" w:eastAsia="zh-CN"/>
              </w:rPr>
              <w:t>台</w:t>
            </w:r>
          </w:p>
        </w:tc>
      </w:tr>
      <w:tr w14:paraId="6927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auto"/>
            <w:vAlign w:val="center"/>
          </w:tcPr>
          <w:p w14:paraId="1FBC8DEE">
            <w:pPr>
              <w:jc w:val="center"/>
              <w:rPr>
                <w:rFonts w:hint="eastAsia" w:ascii="Times New Roman" w:hAnsi="Times New Roman" w:eastAsia="宋体"/>
                <w:color w:val="auto"/>
                <w:szCs w:val="24"/>
                <w:lang w:val="en-US" w:eastAsia="zh-CN"/>
              </w:rPr>
            </w:pPr>
            <w:r>
              <w:rPr>
                <w:rFonts w:hint="eastAsia" w:ascii="Times New Roman" w:hAnsi="Times New Roman"/>
                <w:color w:val="auto"/>
                <w:szCs w:val="24"/>
                <w:lang w:val="en-US" w:eastAsia="zh-CN"/>
              </w:rPr>
              <w:t>2</w:t>
            </w:r>
          </w:p>
        </w:tc>
        <w:tc>
          <w:tcPr>
            <w:tcW w:w="5430" w:type="dxa"/>
            <w:shd w:val="clear" w:color="auto" w:fill="auto"/>
            <w:vAlign w:val="center"/>
          </w:tcPr>
          <w:p w14:paraId="5887397E">
            <w:pPr>
              <w:jc w:val="center"/>
              <w:rPr>
                <w:rFonts w:hint="eastAsia" w:ascii="宋体" w:hAnsi="宋体"/>
                <w:color w:val="auto"/>
                <w:lang w:eastAsia="zh-CN"/>
              </w:rPr>
            </w:pPr>
            <w:r>
              <w:rPr>
                <w:rFonts w:hint="eastAsia"/>
                <w:color w:val="auto"/>
              </w:rPr>
              <w:t>数据控制软件</w:t>
            </w:r>
          </w:p>
        </w:tc>
        <w:tc>
          <w:tcPr>
            <w:tcW w:w="1467" w:type="dxa"/>
            <w:shd w:val="clear" w:color="auto" w:fill="auto"/>
            <w:vAlign w:val="center"/>
          </w:tcPr>
          <w:p w14:paraId="6A8D398D">
            <w:pPr>
              <w:jc w:val="center"/>
              <w:rPr>
                <w:rFonts w:hint="default" w:ascii="Times New Roman" w:hAnsi="Times New Roman"/>
                <w:color w:val="auto"/>
                <w:szCs w:val="24"/>
              </w:rPr>
            </w:pPr>
            <w:r>
              <w:rPr>
                <w:rFonts w:hint="eastAsia" w:asciiTheme="minorEastAsia" w:hAnsiTheme="minorEastAsia" w:eastAsiaTheme="minorEastAsia" w:cstheme="minorEastAsia"/>
                <w:color w:val="auto"/>
              </w:rPr>
              <w:t>1套</w:t>
            </w:r>
          </w:p>
        </w:tc>
      </w:tr>
      <w:tr w14:paraId="1DA4C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auto"/>
            <w:vAlign w:val="center"/>
          </w:tcPr>
          <w:p w14:paraId="70DFFFB0">
            <w:pPr>
              <w:jc w:val="center"/>
              <w:rPr>
                <w:rFonts w:hint="eastAsia" w:ascii="Times New Roman" w:hAnsi="Times New Roman" w:eastAsia="宋体"/>
                <w:color w:val="auto"/>
                <w:szCs w:val="24"/>
                <w:lang w:val="en-US" w:eastAsia="zh-CN"/>
              </w:rPr>
            </w:pPr>
            <w:r>
              <w:rPr>
                <w:rFonts w:hint="eastAsia" w:ascii="Times New Roman" w:hAnsi="Times New Roman"/>
                <w:color w:val="auto"/>
                <w:szCs w:val="24"/>
                <w:lang w:val="en-US" w:eastAsia="zh-CN"/>
              </w:rPr>
              <w:t>3</w:t>
            </w:r>
          </w:p>
        </w:tc>
        <w:tc>
          <w:tcPr>
            <w:tcW w:w="5430" w:type="dxa"/>
            <w:shd w:val="clear" w:color="auto" w:fill="auto"/>
            <w:vAlign w:val="center"/>
          </w:tcPr>
          <w:p w14:paraId="76B1272C">
            <w:pPr>
              <w:jc w:val="center"/>
              <w:rPr>
                <w:rFonts w:hint="eastAsia" w:ascii="宋体" w:hAnsi="宋体"/>
                <w:color w:val="auto"/>
                <w:lang w:eastAsia="zh-CN"/>
              </w:rPr>
            </w:pPr>
            <w:r>
              <w:rPr>
                <w:rFonts w:hint="eastAsia"/>
                <w:color w:val="auto"/>
              </w:rPr>
              <w:t>分流不分流进样口</w:t>
            </w:r>
          </w:p>
        </w:tc>
        <w:tc>
          <w:tcPr>
            <w:tcW w:w="1467" w:type="dxa"/>
            <w:shd w:val="clear" w:color="auto" w:fill="auto"/>
            <w:vAlign w:val="center"/>
          </w:tcPr>
          <w:p w14:paraId="2DFD446B">
            <w:pPr>
              <w:jc w:val="center"/>
              <w:rPr>
                <w:rFonts w:hint="eastAsia" w:ascii="Times New Roman" w:hAnsi="Times New Roman" w:eastAsiaTheme="minorEastAsia"/>
                <w:color w:val="auto"/>
                <w:szCs w:val="24"/>
                <w:lang w:eastAsia="zh-CN"/>
              </w:rPr>
            </w:pPr>
            <w:r>
              <w:rPr>
                <w:rFonts w:hint="eastAsia" w:asciiTheme="minorEastAsia" w:hAnsiTheme="minorEastAsia" w:eastAsiaTheme="minorEastAsia" w:cstheme="minorEastAsia"/>
                <w:color w:val="auto"/>
              </w:rPr>
              <w:t>1</w:t>
            </w:r>
            <w:r>
              <w:rPr>
                <w:rFonts w:hint="eastAsia" w:asciiTheme="minorEastAsia" w:hAnsiTheme="minorEastAsia" w:eastAsiaTheme="minorEastAsia" w:cstheme="minorEastAsia"/>
                <w:color w:val="auto"/>
                <w:lang w:val="en-US" w:eastAsia="zh-CN"/>
              </w:rPr>
              <w:t>个</w:t>
            </w:r>
          </w:p>
        </w:tc>
      </w:tr>
      <w:tr w14:paraId="6FAF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auto"/>
            <w:vAlign w:val="center"/>
          </w:tcPr>
          <w:p w14:paraId="37CE2610">
            <w:pPr>
              <w:jc w:val="center"/>
              <w:rPr>
                <w:rFonts w:hint="default" w:ascii="Times New Roman" w:hAnsi="Times New Roman"/>
                <w:color w:val="auto"/>
                <w:szCs w:val="24"/>
                <w:lang w:val="en-US" w:eastAsia="zh-CN"/>
              </w:rPr>
            </w:pPr>
            <w:r>
              <w:rPr>
                <w:rFonts w:hint="eastAsia" w:ascii="Times New Roman" w:hAnsi="Times New Roman"/>
                <w:color w:val="auto"/>
                <w:szCs w:val="24"/>
                <w:lang w:val="en-US" w:eastAsia="zh-CN"/>
              </w:rPr>
              <w:t>4</w:t>
            </w:r>
          </w:p>
        </w:tc>
        <w:tc>
          <w:tcPr>
            <w:tcW w:w="5430" w:type="dxa"/>
            <w:shd w:val="clear" w:color="auto" w:fill="auto"/>
            <w:vAlign w:val="center"/>
          </w:tcPr>
          <w:p w14:paraId="345FB80A">
            <w:pPr>
              <w:jc w:val="center"/>
              <w:rPr>
                <w:rFonts w:hint="eastAsia" w:asciiTheme="minorEastAsia" w:hAnsiTheme="minorEastAsia" w:eastAsiaTheme="minorEastAsia" w:cstheme="minorEastAsia"/>
                <w:color w:val="auto"/>
              </w:rPr>
            </w:pPr>
            <w:r>
              <w:rPr>
                <w:rFonts w:hint="eastAsia"/>
                <w:color w:val="auto"/>
              </w:rPr>
              <w:t>液体自动进样器</w:t>
            </w:r>
          </w:p>
        </w:tc>
        <w:tc>
          <w:tcPr>
            <w:tcW w:w="1467" w:type="dxa"/>
            <w:shd w:val="clear" w:color="auto" w:fill="auto"/>
            <w:vAlign w:val="center"/>
          </w:tcPr>
          <w:p w14:paraId="6A0A055F">
            <w:pPr>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1套</w:t>
            </w:r>
          </w:p>
        </w:tc>
      </w:tr>
      <w:tr w14:paraId="6369C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auto"/>
            <w:vAlign w:val="center"/>
          </w:tcPr>
          <w:p w14:paraId="7367827D">
            <w:pPr>
              <w:jc w:val="center"/>
              <w:rPr>
                <w:rFonts w:hint="default" w:ascii="Times New Roman" w:hAnsi="Times New Roman"/>
                <w:color w:val="auto"/>
                <w:szCs w:val="24"/>
                <w:lang w:val="en-US" w:eastAsia="zh-CN"/>
              </w:rPr>
            </w:pPr>
            <w:r>
              <w:rPr>
                <w:rFonts w:hint="eastAsia" w:ascii="Times New Roman" w:hAnsi="Times New Roman"/>
                <w:color w:val="auto"/>
                <w:szCs w:val="24"/>
                <w:lang w:val="en-US" w:eastAsia="zh-CN"/>
              </w:rPr>
              <w:t>5</w:t>
            </w:r>
          </w:p>
        </w:tc>
        <w:tc>
          <w:tcPr>
            <w:tcW w:w="5430" w:type="dxa"/>
            <w:shd w:val="clear" w:color="auto" w:fill="auto"/>
            <w:vAlign w:val="center"/>
          </w:tcPr>
          <w:p w14:paraId="2987C948">
            <w:pPr>
              <w:jc w:val="center"/>
              <w:rPr>
                <w:rFonts w:hint="eastAsia" w:asciiTheme="minorEastAsia" w:hAnsiTheme="minorEastAsia" w:eastAsiaTheme="minorEastAsia" w:cstheme="minorEastAsia"/>
                <w:color w:val="auto"/>
              </w:rPr>
            </w:pPr>
            <w:r>
              <w:rPr>
                <w:rFonts w:hint="eastAsia"/>
                <w:color w:val="auto"/>
              </w:rPr>
              <w:t>启动安装包</w:t>
            </w:r>
          </w:p>
        </w:tc>
        <w:tc>
          <w:tcPr>
            <w:tcW w:w="1467" w:type="dxa"/>
            <w:shd w:val="clear" w:color="auto" w:fill="auto"/>
            <w:vAlign w:val="center"/>
          </w:tcPr>
          <w:p w14:paraId="25681CAE">
            <w:pPr>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1套</w:t>
            </w:r>
          </w:p>
        </w:tc>
      </w:tr>
      <w:tr w14:paraId="122B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auto"/>
            <w:vAlign w:val="center"/>
          </w:tcPr>
          <w:p w14:paraId="1720EFAA">
            <w:pPr>
              <w:jc w:val="center"/>
              <w:rPr>
                <w:rFonts w:hint="default" w:ascii="Times New Roman" w:hAnsi="Times New Roman"/>
                <w:color w:val="auto"/>
                <w:szCs w:val="24"/>
                <w:lang w:val="en-US" w:eastAsia="zh-CN"/>
              </w:rPr>
            </w:pPr>
            <w:r>
              <w:rPr>
                <w:rFonts w:hint="eastAsia" w:ascii="Times New Roman" w:hAnsi="Times New Roman"/>
                <w:color w:val="auto"/>
                <w:szCs w:val="24"/>
                <w:lang w:val="en-US" w:eastAsia="zh-CN"/>
              </w:rPr>
              <w:t>6</w:t>
            </w:r>
          </w:p>
        </w:tc>
        <w:tc>
          <w:tcPr>
            <w:tcW w:w="5430" w:type="dxa"/>
            <w:shd w:val="clear" w:color="auto" w:fill="auto"/>
            <w:vAlign w:val="center"/>
          </w:tcPr>
          <w:p w14:paraId="146F56D0">
            <w:pPr>
              <w:jc w:val="center"/>
              <w:rPr>
                <w:rFonts w:hint="eastAsia" w:asciiTheme="minorEastAsia" w:hAnsiTheme="minorEastAsia" w:eastAsiaTheme="minorEastAsia" w:cstheme="minorEastAsia"/>
                <w:color w:val="auto"/>
              </w:rPr>
            </w:pPr>
            <w:r>
              <w:rPr>
                <w:rFonts w:hint="eastAsia"/>
                <w:color w:val="auto"/>
              </w:rPr>
              <w:t>耗材包</w:t>
            </w:r>
          </w:p>
        </w:tc>
        <w:tc>
          <w:tcPr>
            <w:tcW w:w="1467" w:type="dxa"/>
            <w:shd w:val="clear" w:color="auto" w:fill="auto"/>
            <w:vAlign w:val="center"/>
          </w:tcPr>
          <w:p w14:paraId="17BAFA60">
            <w:pPr>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1套</w:t>
            </w:r>
          </w:p>
        </w:tc>
      </w:tr>
      <w:tr w14:paraId="6E9D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auto"/>
            <w:vAlign w:val="center"/>
          </w:tcPr>
          <w:p w14:paraId="66FA4799">
            <w:pPr>
              <w:jc w:val="center"/>
              <w:rPr>
                <w:rFonts w:hint="default" w:ascii="Times New Roman" w:hAnsi="Times New Roman"/>
                <w:color w:val="auto"/>
                <w:szCs w:val="24"/>
                <w:lang w:val="en-US" w:eastAsia="zh-CN"/>
              </w:rPr>
            </w:pPr>
            <w:r>
              <w:rPr>
                <w:rFonts w:hint="eastAsia" w:ascii="Times New Roman" w:hAnsi="Times New Roman"/>
                <w:color w:val="auto"/>
                <w:szCs w:val="24"/>
                <w:lang w:val="en-US" w:eastAsia="zh-CN"/>
              </w:rPr>
              <w:t>7</w:t>
            </w:r>
          </w:p>
        </w:tc>
        <w:tc>
          <w:tcPr>
            <w:tcW w:w="5430" w:type="dxa"/>
            <w:shd w:val="clear" w:color="auto" w:fill="auto"/>
            <w:vAlign w:val="center"/>
          </w:tcPr>
          <w:p w14:paraId="5055A2B4">
            <w:pPr>
              <w:jc w:val="center"/>
              <w:rPr>
                <w:rFonts w:hint="eastAsia" w:asciiTheme="minorEastAsia" w:hAnsiTheme="minorEastAsia" w:eastAsiaTheme="minorEastAsia" w:cstheme="minorEastAsia"/>
                <w:color w:val="auto"/>
              </w:rPr>
            </w:pPr>
            <w:r>
              <w:rPr>
                <w:rFonts w:hint="eastAsia"/>
                <w:color w:val="auto"/>
              </w:rPr>
              <w:t>安装标液</w:t>
            </w:r>
          </w:p>
        </w:tc>
        <w:tc>
          <w:tcPr>
            <w:tcW w:w="1467" w:type="dxa"/>
            <w:shd w:val="clear" w:color="auto" w:fill="auto"/>
            <w:vAlign w:val="center"/>
          </w:tcPr>
          <w:p w14:paraId="361C6820">
            <w:pPr>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1套</w:t>
            </w:r>
          </w:p>
        </w:tc>
      </w:tr>
      <w:tr w14:paraId="74ACB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auto"/>
            <w:vAlign w:val="center"/>
          </w:tcPr>
          <w:p w14:paraId="20D057B8">
            <w:pPr>
              <w:jc w:val="center"/>
              <w:rPr>
                <w:rFonts w:hint="default" w:ascii="Times New Roman" w:hAnsi="Times New Roman"/>
                <w:color w:val="auto"/>
                <w:szCs w:val="24"/>
                <w:lang w:val="en-US" w:eastAsia="zh-CN"/>
              </w:rPr>
            </w:pPr>
            <w:r>
              <w:rPr>
                <w:rFonts w:hint="eastAsia" w:ascii="Times New Roman" w:hAnsi="Times New Roman"/>
                <w:color w:val="auto"/>
                <w:szCs w:val="24"/>
                <w:lang w:val="en-US" w:eastAsia="zh-CN"/>
              </w:rPr>
              <w:t>8</w:t>
            </w:r>
          </w:p>
        </w:tc>
        <w:tc>
          <w:tcPr>
            <w:tcW w:w="5430" w:type="dxa"/>
            <w:shd w:val="clear" w:color="auto" w:fill="auto"/>
            <w:vAlign w:val="center"/>
          </w:tcPr>
          <w:p w14:paraId="78BD6A67">
            <w:pPr>
              <w:jc w:val="center"/>
              <w:rPr>
                <w:rFonts w:hint="eastAsia" w:asciiTheme="minorEastAsia" w:hAnsiTheme="minorEastAsia" w:eastAsiaTheme="minorEastAsia" w:cstheme="minorEastAsia"/>
                <w:color w:val="auto"/>
              </w:rPr>
            </w:pPr>
            <w:r>
              <w:rPr>
                <w:rFonts w:hint="eastAsia"/>
                <w:color w:val="auto"/>
              </w:rPr>
              <w:t>色谱柱</w:t>
            </w:r>
          </w:p>
        </w:tc>
        <w:tc>
          <w:tcPr>
            <w:tcW w:w="1467" w:type="dxa"/>
            <w:shd w:val="clear" w:color="auto" w:fill="auto"/>
            <w:vAlign w:val="center"/>
          </w:tcPr>
          <w:p w14:paraId="2D26CA8C">
            <w:pPr>
              <w:jc w:val="center"/>
              <w:rPr>
                <w:rFonts w:hint="default"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2根</w:t>
            </w:r>
          </w:p>
        </w:tc>
      </w:tr>
      <w:tr w14:paraId="1B51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auto"/>
            <w:vAlign w:val="center"/>
          </w:tcPr>
          <w:p w14:paraId="3BCCDD84">
            <w:pPr>
              <w:jc w:val="center"/>
              <w:rPr>
                <w:rFonts w:hint="default" w:ascii="Times New Roman" w:hAnsi="Times New Roman"/>
                <w:color w:val="auto"/>
                <w:szCs w:val="24"/>
                <w:lang w:val="en-US" w:eastAsia="zh-CN"/>
              </w:rPr>
            </w:pPr>
            <w:r>
              <w:rPr>
                <w:rFonts w:hint="eastAsia" w:ascii="Times New Roman" w:hAnsi="Times New Roman"/>
                <w:color w:val="auto"/>
                <w:szCs w:val="24"/>
                <w:lang w:val="en-US" w:eastAsia="zh-CN"/>
              </w:rPr>
              <w:t>9</w:t>
            </w:r>
          </w:p>
        </w:tc>
        <w:tc>
          <w:tcPr>
            <w:tcW w:w="5430" w:type="dxa"/>
            <w:shd w:val="clear" w:color="auto" w:fill="auto"/>
            <w:vAlign w:val="center"/>
          </w:tcPr>
          <w:p w14:paraId="17D5DCFC">
            <w:pPr>
              <w:numPr>
                <w:ilvl w:val="255"/>
                <w:numId w:val="0"/>
              </w:numPr>
              <w:spacing w:line="360" w:lineRule="auto"/>
              <w:ind w:left="0" w:leftChars="0" w:firstLine="0" w:firstLineChars="0"/>
              <w:jc w:val="center"/>
              <w:rPr>
                <w:rFonts w:hint="eastAsia" w:asciiTheme="minorEastAsia" w:hAnsiTheme="minorEastAsia" w:eastAsiaTheme="minorEastAsia" w:cstheme="minorEastAsia"/>
                <w:color w:val="auto"/>
              </w:rPr>
            </w:pPr>
            <w:r>
              <w:rPr>
                <w:rFonts w:hint="eastAsia" w:ascii="宋体" w:hAnsi="宋体" w:cs="宋体"/>
                <w:color w:val="auto"/>
                <w:lang w:val="en-US" w:eastAsia="zh-CN"/>
              </w:rPr>
              <w:t>控制管理</w:t>
            </w:r>
            <w:r>
              <w:rPr>
                <w:rFonts w:hint="eastAsia" w:ascii="宋体" w:hAnsi="宋体" w:cs="宋体"/>
                <w:color w:val="auto"/>
              </w:rPr>
              <w:t>工作站</w:t>
            </w:r>
          </w:p>
        </w:tc>
        <w:tc>
          <w:tcPr>
            <w:tcW w:w="1467" w:type="dxa"/>
            <w:shd w:val="clear" w:color="auto" w:fill="auto"/>
            <w:vAlign w:val="center"/>
          </w:tcPr>
          <w:p w14:paraId="757A5E35">
            <w:pPr>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1套</w:t>
            </w:r>
          </w:p>
        </w:tc>
      </w:tr>
      <w:tr w14:paraId="5050D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pct"/>
            <w:shd w:val="clear" w:color="auto" w:fill="auto"/>
            <w:vAlign w:val="center"/>
          </w:tcPr>
          <w:p w14:paraId="6EAA1319">
            <w:pPr>
              <w:jc w:val="center"/>
              <w:rPr>
                <w:rFonts w:hint="default" w:ascii="Times New Roman" w:hAnsi="Times New Roman"/>
                <w:color w:val="auto"/>
                <w:szCs w:val="24"/>
                <w:lang w:val="en-US" w:eastAsia="zh-CN"/>
              </w:rPr>
            </w:pPr>
            <w:r>
              <w:rPr>
                <w:rFonts w:hint="eastAsia" w:ascii="Times New Roman" w:hAnsi="Times New Roman"/>
                <w:color w:val="auto"/>
                <w:szCs w:val="24"/>
                <w:lang w:val="en-US" w:eastAsia="zh-CN"/>
              </w:rPr>
              <w:t>10</w:t>
            </w:r>
          </w:p>
        </w:tc>
        <w:tc>
          <w:tcPr>
            <w:tcW w:w="5430" w:type="dxa"/>
            <w:shd w:val="clear" w:color="auto" w:fill="auto"/>
            <w:vAlign w:val="center"/>
          </w:tcPr>
          <w:p w14:paraId="7EE21D07">
            <w:pPr>
              <w:jc w:val="center"/>
              <w:rPr>
                <w:rFonts w:hint="eastAsia" w:asciiTheme="minorEastAsia" w:hAnsiTheme="minorEastAsia" w:eastAsiaTheme="minorEastAsia" w:cstheme="minorEastAsia"/>
                <w:color w:val="auto"/>
              </w:rPr>
            </w:pPr>
            <w:r>
              <w:rPr>
                <w:rFonts w:hint="eastAsia"/>
                <w:color w:val="auto"/>
              </w:rPr>
              <w:t>谱库</w:t>
            </w:r>
          </w:p>
        </w:tc>
        <w:tc>
          <w:tcPr>
            <w:tcW w:w="1467" w:type="dxa"/>
            <w:shd w:val="clear" w:color="auto" w:fill="auto"/>
            <w:vAlign w:val="center"/>
          </w:tcPr>
          <w:p w14:paraId="39632391">
            <w:pPr>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1套</w:t>
            </w:r>
          </w:p>
        </w:tc>
      </w:tr>
    </w:tbl>
    <w:p w14:paraId="42641918">
      <w:pPr>
        <w:pStyle w:val="2"/>
        <w:rPr>
          <w:color w:val="auto"/>
          <w:lang w:val="en-AU"/>
        </w:rPr>
      </w:pPr>
    </w:p>
    <w:p w14:paraId="38866D9F">
      <w:pPr>
        <w:pStyle w:val="2"/>
        <w:ind w:firstLine="0" w:firstLineChars="0"/>
        <w:rPr>
          <w:color w:val="auto"/>
        </w:rPr>
      </w:pPr>
    </w:p>
    <w:p w14:paraId="255417A3">
      <w:pPr>
        <w:pStyle w:val="2"/>
        <w:ind w:firstLine="0" w:firstLineChars="0"/>
        <w:rPr>
          <w:color w:val="auto"/>
        </w:rPr>
      </w:pPr>
    </w:p>
    <w:p w14:paraId="47CFE499">
      <w:pPr>
        <w:spacing w:line="360" w:lineRule="auto"/>
        <w:rPr>
          <w:rFonts w:ascii="宋体" w:hAnsi="宋体"/>
          <w:color w:val="auto"/>
          <w:u w:val="wave"/>
        </w:rPr>
      </w:pPr>
      <w:r>
        <w:rPr>
          <w:rFonts w:hint="eastAsia" w:ascii="宋体" w:hAnsi="宋体"/>
          <w:color w:val="auto"/>
          <w:u w:val="wave"/>
        </w:rPr>
        <w:t>注：</w:t>
      </w:r>
    </w:p>
    <w:p w14:paraId="76BAE294">
      <w:pPr>
        <w:numPr>
          <w:ilvl w:val="0"/>
          <w:numId w:val="14"/>
        </w:numPr>
        <w:spacing w:line="360" w:lineRule="auto"/>
        <w:rPr>
          <w:rFonts w:ascii="宋体" w:hAnsi="宋体"/>
          <w:color w:val="auto"/>
          <w:u w:val="wave"/>
        </w:rPr>
      </w:pPr>
      <w:r>
        <w:rPr>
          <w:rFonts w:hint="eastAsia" w:ascii="宋体" w:hAnsi="宋体"/>
          <w:color w:val="auto"/>
        </w:rPr>
        <w:t>若投标人提供进口产品</w:t>
      </w:r>
      <w:r>
        <w:rPr>
          <w:rFonts w:hint="eastAsia" w:ascii="宋体" w:hAnsi="宋体"/>
          <w:color w:val="auto"/>
          <w:lang w:eastAsia="zh-CN"/>
        </w:rPr>
        <w:t>，</w:t>
      </w:r>
      <w:r>
        <w:rPr>
          <w:rFonts w:hint="eastAsia" w:ascii="宋体" w:hAnsi="宋体"/>
          <w:color w:val="auto"/>
          <w:u w:val="wave"/>
          <w:lang w:val="en-US" w:eastAsia="zh-CN"/>
        </w:rPr>
        <w:t>则</w:t>
      </w:r>
      <w:r>
        <w:rPr>
          <w:rFonts w:hint="eastAsia" w:ascii="宋体" w:hAnsi="宋体"/>
          <w:color w:val="auto"/>
          <w:u w:val="wave"/>
        </w:rPr>
        <w:t>须出具生产厂家提供的明确针对本项目的参数确认函并声明对此参数确认函的参数真实性承担责任。</w:t>
      </w:r>
    </w:p>
    <w:p w14:paraId="21CC46F6">
      <w:pPr>
        <w:numPr>
          <w:ilvl w:val="0"/>
          <w:numId w:val="14"/>
        </w:numPr>
        <w:spacing w:line="360" w:lineRule="auto"/>
        <w:rPr>
          <w:rFonts w:ascii="宋体" w:hAnsi="宋体"/>
          <w:color w:val="auto"/>
          <w:u w:val="wave"/>
        </w:rPr>
      </w:pPr>
      <w:r>
        <w:rPr>
          <w:rFonts w:hint="eastAsia" w:ascii="宋体" w:hAnsi="宋体"/>
          <w:color w:val="auto"/>
          <w:u w:val="wave"/>
        </w:rPr>
        <w:t>若投标人提供的参数与原生产厂家官网的参数不一致，则优先采信原生产厂家官网的参数，投标人自行承担因为原生产厂家官网错误或者更新慢所带来的一切不利后果</w:t>
      </w:r>
      <w:r>
        <w:rPr>
          <w:rFonts w:hint="eastAsia" w:ascii="宋体" w:hAnsi="宋体"/>
          <w:color w:val="auto"/>
          <w:u w:val="wave"/>
        </w:rPr>
        <w:t>。</w:t>
      </w:r>
    </w:p>
    <w:p w14:paraId="02D222FA">
      <w:pPr>
        <w:numPr>
          <w:ilvl w:val="0"/>
          <w:numId w:val="14"/>
        </w:numPr>
        <w:spacing w:line="360" w:lineRule="auto"/>
        <w:rPr>
          <w:rFonts w:ascii="宋体" w:hAnsi="宋体"/>
          <w:b/>
          <w:color w:val="auto"/>
          <w:u w:val="wave"/>
        </w:rPr>
      </w:pPr>
      <w:r>
        <w:rPr>
          <w:rFonts w:hint="eastAsia" w:ascii="宋体" w:hAnsi="宋体"/>
          <w:color w:val="auto"/>
          <w:u w:val="wave"/>
        </w:rPr>
        <w:t>本次投标的产品</w:t>
      </w:r>
      <w:r>
        <w:rPr>
          <w:rFonts w:hint="eastAsia" w:ascii="宋体" w:hAnsi="宋体"/>
          <w:color w:val="auto"/>
          <w:u w:val="wave"/>
          <w:lang w:val="en-US" w:eastAsia="zh-CN"/>
        </w:rPr>
        <w:t>涉及专用设备，投标产品</w:t>
      </w:r>
      <w:r>
        <w:rPr>
          <w:rFonts w:hint="eastAsia" w:ascii="宋体" w:hAnsi="宋体"/>
          <w:color w:val="auto"/>
          <w:u w:val="wave"/>
        </w:rPr>
        <w:t>应为本项目采购范围内</w:t>
      </w:r>
      <w:r>
        <w:rPr>
          <w:rFonts w:hint="eastAsia" w:ascii="宋体" w:hAnsi="宋体"/>
          <w:color w:val="auto"/>
          <w:u w:val="wave"/>
          <w:lang w:val="en-US" w:eastAsia="zh-CN"/>
        </w:rPr>
        <w:t>技术方案成熟</w:t>
      </w:r>
      <w:r>
        <w:rPr>
          <w:rFonts w:hint="eastAsia" w:ascii="宋体" w:hAnsi="宋体"/>
          <w:color w:val="auto"/>
          <w:u w:val="wave"/>
        </w:rPr>
        <w:t>、可稳定运行并满足本</w:t>
      </w:r>
      <w:r>
        <w:rPr>
          <w:rFonts w:hint="eastAsia" w:ascii="宋体" w:hAnsi="宋体"/>
          <w:color w:val="auto"/>
          <w:u w:val="wave"/>
          <w:lang w:val="en-US" w:eastAsia="zh-CN"/>
        </w:rPr>
        <w:t>项目核心实质性参数的</w:t>
      </w:r>
      <w:r>
        <w:rPr>
          <w:rFonts w:hint="eastAsia" w:ascii="宋体" w:hAnsi="宋体"/>
          <w:color w:val="auto"/>
          <w:u w:val="wave"/>
        </w:rPr>
        <w:t>成熟产品。</w:t>
      </w:r>
    </w:p>
    <w:p w14:paraId="282C2374">
      <w:pPr>
        <w:numPr>
          <w:ilvl w:val="0"/>
          <w:numId w:val="14"/>
        </w:numPr>
        <w:spacing w:line="360" w:lineRule="auto"/>
        <w:rPr>
          <w:rFonts w:ascii="宋体" w:hAnsi="宋体"/>
          <w:color w:val="auto"/>
          <w:u w:val="wave"/>
        </w:rPr>
      </w:pPr>
      <w:r>
        <w:rPr>
          <w:rFonts w:hint="eastAsia" w:ascii="宋体" w:hAnsi="宋体"/>
          <w:color w:val="auto"/>
          <w:u w:val="wave"/>
          <w:lang w:val="en-GB"/>
        </w:rPr>
        <w:t>凡列入《中华人民共和国实施强制性产品认证的产品目录》的产品在验收时必须出具CCC认证证书复印件</w:t>
      </w:r>
      <w:r>
        <w:rPr>
          <w:rFonts w:hint="eastAsia" w:ascii="宋体" w:hAnsi="宋体"/>
          <w:color w:val="auto"/>
          <w:u w:val="wave"/>
          <w:lang w:val="en-GB"/>
        </w:rPr>
        <w:t>。</w:t>
      </w:r>
    </w:p>
    <w:p w14:paraId="104D5BAB">
      <w:pPr>
        <w:numPr>
          <w:ilvl w:val="0"/>
          <w:numId w:val="14"/>
        </w:numPr>
        <w:spacing w:line="360" w:lineRule="auto"/>
        <w:rPr>
          <w:rFonts w:ascii="宋体" w:hAnsi="宋体"/>
          <w:color w:val="auto"/>
          <w:u w:val="wave"/>
        </w:rPr>
      </w:pPr>
      <w:r>
        <w:rPr>
          <w:rFonts w:hint="eastAsia" w:ascii="宋体" w:hAnsi="宋体"/>
          <w:color w:val="auto"/>
          <w:u w:val="wave"/>
        </w:rPr>
        <w:t>投标人应在投标方案中根据上诉要求作出明确的响应</w:t>
      </w:r>
      <w:r>
        <w:rPr>
          <w:rFonts w:hint="eastAsia" w:ascii="宋体" w:hAnsi="宋体"/>
          <w:color w:val="auto"/>
          <w:u w:val="wave"/>
          <w:lang w:eastAsia="zh-CN"/>
        </w:rPr>
        <w:t>。</w:t>
      </w:r>
    </w:p>
    <w:p w14:paraId="1AC76CCF">
      <w:pPr>
        <w:numPr>
          <w:ilvl w:val="0"/>
          <w:numId w:val="14"/>
        </w:numPr>
        <w:spacing w:line="360" w:lineRule="auto"/>
        <w:rPr>
          <w:rFonts w:ascii="宋体" w:hAnsi="宋体"/>
          <w:color w:val="auto"/>
          <w:u w:val="wave"/>
        </w:rPr>
      </w:pPr>
      <w:r>
        <w:rPr>
          <w:rFonts w:hint="eastAsia" w:ascii="宋体" w:hAnsi="宋体"/>
          <w:color w:val="auto"/>
          <w:u w:val="wave"/>
        </w:rPr>
        <w:t>以上内容为基本要求，投标人应根据自身的深化设计方案，在完全满足以上功能要求的基础上提供更为详细的材料清单</w:t>
      </w:r>
      <w:r>
        <w:rPr>
          <w:rFonts w:hint="eastAsia" w:ascii="宋体" w:hAnsi="宋体"/>
          <w:color w:val="auto"/>
          <w:u w:val="wave"/>
          <w:lang w:eastAsia="zh-CN"/>
        </w:rPr>
        <w:t>。</w:t>
      </w:r>
    </w:p>
    <w:p w14:paraId="04819597">
      <w:pPr>
        <w:numPr>
          <w:ilvl w:val="0"/>
          <w:numId w:val="14"/>
        </w:numPr>
        <w:spacing w:line="360" w:lineRule="auto"/>
        <w:rPr>
          <w:rFonts w:ascii="宋体" w:hAnsi="宋体"/>
          <w:color w:val="auto"/>
          <w:u w:val="wave"/>
        </w:rPr>
      </w:pPr>
      <w:r>
        <w:rPr>
          <w:rFonts w:hint="eastAsia" w:ascii="宋体" w:hAnsi="宋体"/>
          <w:color w:val="auto"/>
          <w:u w:val="wave"/>
        </w:rPr>
        <w:t>上述内容中如涉及具体品牌、型号、产地的产品，仅作为项目质量水平与系统配置的参考，在不低于此基准且评委会可合理接受的前提下，投标人可以质量水平相当或更优的同类产品替代，低于此基准时评委会经过综合评议可认定为无效投标</w:t>
      </w:r>
      <w:r>
        <w:rPr>
          <w:rFonts w:hint="eastAsia" w:ascii="宋体" w:hAnsi="宋体"/>
          <w:color w:val="auto"/>
          <w:u w:val="wave"/>
        </w:rPr>
        <w:t>。</w:t>
      </w:r>
    </w:p>
    <w:p w14:paraId="29081C33">
      <w:pPr>
        <w:numPr>
          <w:ilvl w:val="0"/>
          <w:numId w:val="14"/>
        </w:numPr>
        <w:spacing w:line="360" w:lineRule="auto"/>
        <w:rPr>
          <w:rFonts w:ascii="宋体" w:hAnsi="宋体"/>
          <w:color w:val="auto"/>
          <w:u w:val="wave"/>
        </w:rPr>
      </w:pPr>
      <w:r>
        <w:rPr>
          <w:rFonts w:hint="eastAsia" w:ascii="宋体" w:hAnsi="宋体"/>
          <w:color w:val="auto"/>
          <w:u w:val="wave"/>
        </w:rPr>
        <w:t>上述内容中打“★”号条款为实质性条款，有任何一条负偏离则导致无效投标。</w:t>
      </w:r>
    </w:p>
    <w:p w14:paraId="08B72BAE">
      <w:pPr>
        <w:numPr>
          <w:ilvl w:val="0"/>
          <w:numId w:val="14"/>
        </w:numPr>
        <w:spacing w:line="360" w:lineRule="auto"/>
        <w:rPr>
          <w:rFonts w:ascii="宋体" w:hAnsi="宋体"/>
          <w:color w:val="auto"/>
          <w:u w:val="wave"/>
        </w:rPr>
      </w:pPr>
      <w:r>
        <w:rPr>
          <w:rFonts w:hint="eastAsia" w:ascii="宋体" w:hAnsi="宋体"/>
          <w:color w:val="auto"/>
          <w:u w:val="wave"/>
        </w:rPr>
        <w:t>上述内容中打“▲”号条款为重要技术参数，但不作为无效投标条款，如有不响应，将作重点扣分处理。</w:t>
      </w:r>
    </w:p>
    <w:p w14:paraId="71A8950F">
      <w:pPr>
        <w:pStyle w:val="8"/>
        <w:adjustRightInd w:val="0"/>
        <w:snapToGrid w:val="0"/>
        <w:spacing w:line="360" w:lineRule="auto"/>
        <w:ind w:firstLine="482"/>
        <w:rPr>
          <w:rFonts w:ascii="宋体" w:hAnsi="宋体"/>
          <w:color w:val="auto"/>
          <w:sz w:val="24"/>
          <w:szCs w:val="24"/>
        </w:rPr>
      </w:pPr>
    </w:p>
    <w:p w14:paraId="0436BEE6">
      <w:pPr>
        <w:pStyle w:val="8"/>
        <w:adjustRightInd w:val="0"/>
        <w:snapToGrid w:val="0"/>
        <w:spacing w:line="360" w:lineRule="auto"/>
        <w:ind w:left="1" w:leftChars="-95" w:hanging="200" w:firstLineChars="0"/>
        <w:rPr>
          <w:rFonts w:hint="default" w:ascii="宋体" w:hAnsi="宋体"/>
          <w:b/>
          <w:bCs/>
          <w:color w:val="auto"/>
          <w:sz w:val="24"/>
          <w:szCs w:val="24"/>
        </w:rPr>
      </w:pPr>
      <w:r>
        <w:rPr>
          <w:rFonts w:hint="eastAsia" w:ascii="宋体" w:hAnsi="宋体"/>
          <w:b/>
          <w:bCs/>
          <w:color w:val="auto"/>
          <w:sz w:val="24"/>
          <w:szCs w:val="24"/>
          <w:lang w:val="en-US" w:eastAsia="zh-CN"/>
        </w:rPr>
        <w:t>4</w:t>
      </w:r>
      <w:r>
        <w:rPr>
          <w:rFonts w:hint="eastAsia" w:ascii="宋体" w:hAnsi="宋体"/>
          <w:b/>
          <w:bCs/>
          <w:color w:val="auto"/>
          <w:sz w:val="24"/>
          <w:szCs w:val="24"/>
          <w:lang w:eastAsia="zh-CN"/>
        </w:rPr>
        <w:t>、</w:t>
      </w:r>
      <w:r>
        <w:rPr>
          <w:rFonts w:ascii="宋体" w:hAnsi="宋体"/>
          <w:b/>
          <w:bCs/>
          <w:color w:val="auto"/>
          <w:sz w:val="24"/>
          <w:szCs w:val="24"/>
        </w:rPr>
        <w:t>主要商务要求</w:t>
      </w:r>
    </w:p>
    <w:tbl>
      <w:tblPr>
        <w:tblStyle w:val="5"/>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623"/>
        <w:gridCol w:w="7241"/>
      </w:tblGrid>
      <w:tr w14:paraId="2FA0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blHeader/>
        </w:trPr>
        <w:tc>
          <w:tcPr>
            <w:tcW w:w="673" w:type="dxa"/>
            <w:shd w:val="clear" w:color="auto" w:fill="F3F3F3"/>
            <w:vAlign w:val="center"/>
          </w:tcPr>
          <w:p w14:paraId="755D4259">
            <w:pPr>
              <w:spacing w:line="360" w:lineRule="auto"/>
              <w:jc w:val="center"/>
              <w:rPr>
                <w:rFonts w:asciiTheme="minorEastAsia" w:hAnsiTheme="minorEastAsia" w:eastAsiaTheme="minorEastAsia"/>
                <w:b/>
                <w:color w:val="auto"/>
                <w:sz w:val="21"/>
                <w:szCs w:val="21"/>
              </w:rPr>
            </w:pPr>
            <w:r>
              <w:rPr>
                <w:rFonts w:asciiTheme="minorEastAsia" w:hAnsiTheme="minorEastAsia" w:eastAsiaTheme="minorEastAsia"/>
                <w:b/>
                <w:color w:val="auto"/>
                <w:sz w:val="21"/>
                <w:szCs w:val="21"/>
              </w:rPr>
              <w:t>序号</w:t>
            </w:r>
          </w:p>
        </w:tc>
        <w:tc>
          <w:tcPr>
            <w:tcW w:w="1623" w:type="dxa"/>
            <w:shd w:val="clear" w:color="auto" w:fill="F3F3F3"/>
            <w:vAlign w:val="center"/>
          </w:tcPr>
          <w:p w14:paraId="0F6C5653">
            <w:pPr>
              <w:spacing w:line="360" w:lineRule="auto"/>
              <w:jc w:val="center"/>
              <w:rPr>
                <w:rFonts w:asciiTheme="minorEastAsia" w:hAnsiTheme="minorEastAsia" w:eastAsiaTheme="minorEastAsia"/>
                <w:b/>
                <w:color w:val="auto"/>
                <w:sz w:val="21"/>
                <w:szCs w:val="21"/>
              </w:rPr>
            </w:pPr>
            <w:r>
              <w:rPr>
                <w:rFonts w:hint="eastAsia" w:asciiTheme="minorEastAsia" w:hAnsiTheme="minorEastAsia" w:eastAsiaTheme="minorEastAsia"/>
                <w:b/>
                <w:color w:val="auto"/>
                <w:sz w:val="21"/>
                <w:szCs w:val="21"/>
              </w:rPr>
              <w:t>商务条款</w:t>
            </w:r>
          </w:p>
        </w:tc>
        <w:tc>
          <w:tcPr>
            <w:tcW w:w="7241" w:type="dxa"/>
            <w:shd w:val="clear" w:color="auto" w:fill="F3F3F3"/>
            <w:vAlign w:val="center"/>
          </w:tcPr>
          <w:p w14:paraId="64E483F6">
            <w:pPr>
              <w:spacing w:line="360" w:lineRule="auto"/>
              <w:jc w:val="center"/>
              <w:rPr>
                <w:rFonts w:asciiTheme="minorEastAsia" w:hAnsiTheme="minorEastAsia" w:eastAsiaTheme="minorEastAsia"/>
                <w:b/>
                <w:color w:val="auto"/>
                <w:sz w:val="21"/>
                <w:szCs w:val="21"/>
              </w:rPr>
            </w:pPr>
            <w:r>
              <w:rPr>
                <w:rFonts w:hint="eastAsia" w:asciiTheme="minorEastAsia" w:hAnsiTheme="minorEastAsia" w:eastAsiaTheme="minorEastAsia"/>
                <w:b/>
                <w:color w:val="auto"/>
                <w:sz w:val="21"/>
                <w:szCs w:val="21"/>
              </w:rPr>
              <w:t>要求</w:t>
            </w:r>
          </w:p>
        </w:tc>
      </w:tr>
      <w:tr w14:paraId="2771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673" w:type="dxa"/>
            <w:vAlign w:val="center"/>
          </w:tcPr>
          <w:p w14:paraId="2A01204E">
            <w:pPr>
              <w:tabs>
                <w:tab w:val="left" w:pos="180"/>
              </w:tabs>
              <w:spacing w:line="360" w:lineRule="auto"/>
              <w:jc w:val="cente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1</w:t>
            </w:r>
          </w:p>
        </w:tc>
        <w:tc>
          <w:tcPr>
            <w:tcW w:w="1623" w:type="dxa"/>
            <w:vAlign w:val="center"/>
          </w:tcPr>
          <w:p w14:paraId="0FC15B96">
            <w:pPr>
              <w:spacing w:line="360" w:lineRule="auto"/>
              <w:jc w:val="cente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招标项目预算金额</w:t>
            </w:r>
          </w:p>
        </w:tc>
        <w:tc>
          <w:tcPr>
            <w:tcW w:w="7241" w:type="dxa"/>
            <w:vAlign w:val="center"/>
          </w:tcPr>
          <w:p w14:paraId="0D0C70CA">
            <w:pPr>
              <w:tabs>
                <w:tab w:val="left" w:pos="540"/>
              </w:tabs>
              <w:spacing w:line="360" w:lineRule="auto"/>
              <w:rPr>
                <w:rFonts w:asciiTheme="minorEastAsia" w:hAnsiTheme="minorEastAsia" w:eastAsiaTheme="minorEastAsia"/>
                <w:color w:val="auto"/>
                <w:sz w:val="21"/>
                <w:szCs w:val="21"/>
                <w:lang w:val="en-GB"/>
              </w:rPr>
            </w:pPr>
            <w:r>
              <w:rPr>
                <w:rFonts w:hint="eastAsia" w:ascii="宋体" w:hAnsi="宋体"/>
                <w:color w:val="auto"/>
                <w:sz w:val="21"/>
                <w:szCs w:val="21"/>
              </w:rPr>
              <w:t>详见</w:t>
            </w:r>
            <w:r>
              <w:rPr>
                <w:rFonts w:hint="eastAsia" w:ascii="宋体" w:hAnsi="宋体"/>
                <w:color w:val="auto"/>
                <w:sz w:val="21"/>
                <w:szCs w:val="21"/>
                <w:u w:val="single"/>
              </w:rPr>
              <w:t>“投标邀请函”的“三、招标项目</w:t>
            </w:r>
            <w:r>
              <w:rPr>
                <w:rFonts w:hint="eastAsia" w:ascii="宋体" w:hAnsi="宋体"/>
                <w:color w:val="auto"/>
                <w:sz w:val="21"/>
                <w:szCs w:val="21"/>
                <w:u w:val="single"/>
                <w:lang w:val="en-US" w:eastAsia="zh-CN"/>
              </w:rPr>
              <w:t>总</w:t>
            </w:r>
            <w:r>
              <w:rPr>
                <w:rFonts w:hint="eastAsia" w:ascii="宋体" w:hAnsi="宋体"/>
                <w:color w:val="auto"/>
                <w:sz w:val="21"/>
                <w:szCs w:val="21"/>
                <w:u w:val="single"/>
              </w:rPr>
              <w:t>预算金额”的内容</w:t>
            </w:r>
            <w:r>
              <w:rPr>
                <w:rFonts w:hint="eastAsia" w:ascii="宋体" w:hAnsi="宋体"/>
                <w:color w:val="auto"/>
                <w:sz w:val="21"/>
                <w:szCs w:val="21"/>
              </w:rPr>
              <w:t>。</w:t>
            </w:r>
          </w:p>
        </w:tc>
      </w:tr>
      <w:tr w14:paraId="5CDE2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673" w:type="dxa"/>
            <w:vAlign w:val="center"/>
          </w:tcPr>
          <w:p w14:paraId="20D7C21D">
            <w:pPr>
              <w:tabs>
                <w:tab w:val="left" w:pos="180"/>
              </w:tabs>
              <w:spacing w:line="360" w:lineRule="auto"/>
              <w:jc w:val="cente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2</w:t>
            </w:r>
          </w:p>
        </w:tc>
        <w:tc>
          <w:tcPr>
            <w:tcW w:w="1623" w:type="dxa"/>
            <w:vAlign w:val="center"/>
          </w:tcPr>
          <w:p w14:paraId="7B1D4498">
            <w:pPr>
              <w:spacing w:line="360" w:lineRule="auto"/>
              <w:jc w:val="cente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投标报价</w:t>
            </w:r>
          </w:p>
        </w:tc>
        <w:tc>
          <w:tcPr>
            <w:tcW w:w="7241" w:type="dxa"/>
            <w:vAlign w:val="center"/>
          </w:tcPr>
          <w:p w14:paraId="17B39444">
            <w:pPr>
              <w:tabs>
                <w:tab w:val="left" w:pos="540"/>
              </w:tabs>
              <w:spacing w:line="312" w:lineRule="auto"/>
              <w:rPr>
                <w:rFonts w:ascii="宋体" w:hAnsi="宋体"/>
                <w:color w:val="auto"/>
                <w:sz w:val="21"/>
                <w:szCs w:val="21"/>
                <w:lang w:val="en-GB"/>
              </w:rPr>
            </w:pPr>
            <w:r>
              <w:rPr>
                <w:rFonts w:hint="eastAsia" w:ascii="宋体" w:hAnsi="宋体"/>
                <w:color w:val="auto"/>
                <w:sz w:val="21"/>
                <w:szCs w:val="21"/>
                <w:lang w:val="en-GB"/>
              </w:rPr>
              <w:t>1.本项目报价为广东省佛山市目的地验收交付价。</w:t>
            </w:r>
          </w:p>
          <w:p w14:paraId="0DFD3F48">
            <w:pPr>
              <w:tabs>
                <w:tab w:val="left" w:pos="540"/>
              </w:tabs>
              <w:spacing w:line="312" w:lineRule="auto"/>
              <w:ind w:left="210" w:hanging="210" w:hangingChars="100"/>
              <w:rPr>
                <w:rFonts w:ascii="宋体" w:hAnsi="宋体"/>
                <w:color w:val="auto"/>
                <w:sz w:val="21"/>
                <w:szCs w:val="21"/>
                <w:lang w:val="en-GB"/>
              </w:rPr>
            </w:pPr>
            <w:r>
              <w:rPr>
                <w:rFonts w:hint="eastAsia" w:ascii="宋体" w:hAnsi="宋体"/>
                <w:color w:val="auto"/>
                <w:sz w:val="21"/>
                <w:szCs w:val="21"/>
                <w:lang w:val="en-US" w:eastAsia="zh-CN"/>
              </w:rPr>
              <w:t>2</w:t>
            </w:r>
            <w:r>
              <w:rPr>
                <w:rFonts w:hint="eastAsia" w:ascii="宋体" w:hAnsi="宋体"/>
                <w:color w:val="auto"/>
                <w:sz w:val="21"/>
                <w:szCs w:val="21"/>
                <w:lang w:val="en-GB"/>
              </w:rPr>
              <w:t>.投标报价方式：</w:t>
            </w:r>
          </w:p>
          <w:p w14:paraId="3054E867">
            <w:pPr>
              <w:spacing w:line="360" w:lineRule="auto"/>
              <w:ind w:left="211" w:hanging="211" w:hangingChars="100"/>
              <w:jc w:val="left"/>
              <w:rPr>
                <w:rFonts w:ascii="宋体" w:hAnsi="宋体" w:cs="Times New Roman"/>
                <w:b/>
                <w:bCs/>
                <w:color w:val="auto"/>
                <w:sz w:val="21"/>
                <w:szCs w:val="24"/>
              </w:rPr>
            </w:pPr>
            <w:r>
              <w:rPr>
                <w:rFonts w:hint="eastAsia" w:ascii="宋体" w:hAnsi="宋体" w:cs="Times New Roman"/>
                <w:b/>
                <w:bCs/>
                <w:color w:val="auto"/>
                <w:sz w:val="21"/>
                <w:szCs w:val="24"/>
                <w:lang w:eastAsia="zh-CN"/>
              </w:rPr>
              <w:t>（</w:t>
            </w:r>
            <w:r>
              <w:rPr>
                <w:rFonts w:hint="eastAsia" w:ascii="宋体" w:hAnsi="宋体" w:cs="Times New Roman"/>
                <w:b/>
                <w:bCs/>
                <w:color w:val="auto"/>
                <w:sz w:val="21"/>
                <w:szCs w:val="24"/>
                <w:lang w:val="en-US" w:eastAsia="zh-CN"/>
              </w:rPr>
              <w:t>1</w:t>
            </w:r>
            <w:r>
              <w:rPr>
                <w:rFonts w:hint="eastAsia" w:ascii="宋体" w:hAnsi="宋体" w:cs="Times New Roman"/>
                <w:b/>
                <w:bCs/>
                <w:color w:val="auto"/>
                <w:sz w:val="21"/>
                <w:szCs w:val="24"/>
                <w:lang w:eastAsia="zh-CN"/>
              </w:rPr>
              <w:t>）从中华人民共和国关境内提供的货物,包括关境内制造的货物&amp;投标截止时间前已经进口的货物：（报货物运送至招标人指定现场包干价（国产货物）/DDP价（境内进口货物）</w:t>
            </w:r>
            <w:r>
              <w:rPr>
                <w:rFonts w:hint="eastAsia" w:ascii="宋体" w:hAnsi="宋体" w:cs="Times New Roman"/>
                <w:b/>
                <w:bCs/>
                <w:color w:val="auto"/>
                <w:sz w:val="21"/>
                <w:szCs w:val="24"/>
                <w:lang w:val="en-GB"/>
              </w:rPr>
              <w:t>，其他费用包括但不限于以下内容</w:t>
            </w:r>
            <w:r>
              <w:rPr>
                <w:rFonts w:hint="eastAsia" w:ascii="宋体" w:hAnsi="宋体" w:cs="Times New Roman"/>
                <w:b/>
                <w:bCs/>
                <w:color w:val="auto"/>
                <w:sz w:val="21"/>
                <w:szCs w:val="24"/>
                <w:lang w:val="en-US" w:eastAsia="zh-CN"/>
              </w:rPr>
              <w:t>】</w:t>
            </w:r>
            <w:r>
              <w:rPr>
                <w:rFonts w:hint="eastAsia" w:ascii="宋体" w:hAnsi="宋体" w:cs="Times New Roman"/>
                <w:b/>
                <w:bCs/>
                <w:color w:val="auto"/>
                <w:sz w:val="21"/>
                <w:szCs w:val="24"/>
              </w:rPr>
              <w:t>：</w:t>
            </w:r>
          </w:p>
          <w:p w14:paraId="2EA6F0DD">
            <w:pPr>
              <w:adjustRightInd w:val="0"/>
              <w:snapToGrid w:val="0"/>
              <w:spacing w:line="400" w:lineRule="exact"/>
              <w:ind w:left="315" w:hanging="315" w:hangingChars="150"/>
              <w:jc w:val="left"/>
              <w:textAlignment w:val="baseline"/>
              <w:rPr>
                <w:rFonts w:ascii="宋体" w:hAnsi="宋体" w:cs="Times New Roman"/>
                <w:color w:val="auto"/>
                <w:kern w:val="0"/>
                <w:sz w:val="21"/>
                <w:szCs w:val="21"/>
                <w:lang w:val="en-GB"/>
              </w:rPr>
            </w:pPr>
            <w:r>
              <w:rPr>
                <w:rFonts w:hint="eastAsia" w:ascii="宋体" w:hAnsi="宋体" w:cs="Times New Roman"/>
                <w:color w:val="auto"/>
                <w:kern w:val="0"/>
                <w:sz w:val="21"/>
                <w:szCs w:val="21"/>
              </w:rPr>
              <w:t>1</w:t>
            </w:r>
            <w:r>
              <w:rPr>
                <w:rFonts w:hint="eastAsia" w:ascii="宋体" w:hAnsi="宋体" w:cs="Times New Roman"/>
                <w:color w:val="auto"/>
                <w:kern w:val="0"/>
                <w:sz w:val="21"/>
                <w:szCs w:val="21"/>
                <w:lang w:val="en-GB"/>
              </w:rPr>
              <w:t>）各项税费，包括向中华人民共和国政府缴纳的增值税、进口制造部件和原材料或进口货物关税、增值税和其他税费，必要时提供完税证明。</w:t>
            </w:r>
          </w:p>
          <w:p w14:paraId="32463E3B">
            <w:pPr>
              <w:adjustRightInd w:val="0"/>
              <w:snapToGrid w:val="0"/>
              <w:spacing w:line="400" w:lineRule="exact"/>
              <w:ind w:left="315" w:hanging="315" w:hangingChars="150"/>
              <w:jc w:val="left"/>
              <w:textAlignment w:val="baseline"/>
              <w:rPr>
                <w:rFonts w:ascii="宋体" w:hAnsi="宋体" w:cs="Times New Roman"/>
                <w:color w:val="auto"/>
                <w:kern w:val="0"/>
                <w:sz w:val="21"/>
                <w:szCs w:val="21"/>
                <w:lang w:val="en-GB"/>
              </w:rPr>
            </w:pPr>
            <w:r>
              <w:rPr>
                <w:rFonts w:hint="eastAsia" w:ascii="宋体" w:hAnsi="宋体" w:cs="Times New Roman"/>
                <w:color w:val="auto"/>
                <w:kern w:val="0"/>
                <w:sz w:val="21"/>
                <w:szCs w:val="21"/>
                <w:lang w:val="en-GB"/>
              </w:rPr>
              <w:t>2）交货到使用现场（招标人指定到货地点）产生的全部费用，包括货物运至最终目的地的运输费、保险费及与货物交运相关的其他费用。</w:t>
            </w:r>
          </w:p>
          <w:p w14:paraId="14DA90CA">
            <w:pPr>
              <w:adjustRightInd w:val="0"/>
              <w:snapToGrid w:val="0"/>
              <w:spacing w:line="400" w:lineRule="exact"/>
              <w:ind w:left="315" w:hanging="315" w:hangingChars="150"/>
              <w:jc w:val="left"/>
              <w:textAlignment w:val="baseline"/>
              <w:rPr>
                <w:rFonts w:ascii="宋体" w:hAnsi="宋体" w:cs="Times New Roman"/>
                <w:color w:val="auto"/>
                <w:kern w:val="0"/>
                <w:sz w:val="21"/>
                <w:szCs w:val="21"/>
                <w:lang w:val="en-GB"/>
              </w:rPr>
            </w:pPr>
            <w:r>
              <w:rPr>
                <w:rFonts w:hint="eastAsia" w:ascii="宋体" w:hAnsi="宋体" w:cs="Times New Roman"/>
                <w:color w:val="auto"/>
                <w:kern w:val="0"/>
                <w:sz w:val="21"/>
                <w:szCs w:val="21"/>
                <w:lang w:val="en-GB"/>
              </w:rPr>
              <w:t>3）安装与调试、验收、检验、培训、技术文件的移交、质量保证期服务、技术服务、售后服务及招标文件要求提供的其他服务等，包括但不限于安装调试过程中损耗、额外材料、设计费等。</w:t>
            </w:r>
          </w:p>
          <w:p w14:paraId="7D04C177">
            <w:pPr>
              <w:adjustRightInd w:val="0"/>
              <w:snapToGrid w:val="0"/>
              <w:spacing w:line="400" w:lineRule="exact"/>
              <w:ind w:left="315" w:hanging="315" w:hangingChars="150"/>
              <w:jc w:val="left"/>
              <w:textAlignment w:val="baseline"/>
              <w:rPr>
                <w:rFonts w:ascii="宋体" w:hAnsi="宋体" w:cs="Times New Roman"/>
                <w:color w:val="auto"/>
                <w:kern w:val="0"/>
                <w:sz w:val="21"/>
                <w:szCs w:val="21"/>
                <w:lang w:val="en-GB"/>
              </w:rPr>
            </w:pPr>
            <w:r>
              <w:rPr>
                <w:rFonts w:hint="eastAsia" w:ascii="宋体" w:hAnsi="宋体" w:cs="Times New Roman"/>
                <w:color w:val="auto"/>
                <w:kern w:val="0"/>
                <w:sz w:val="21"/>
                <w:szCs w:val="21"/>
                <w:lang w:val="en-GB"/>
              </w:rPr>
              <w:t>4）设备正常运行所需的专用工具和质量保证期内的备品备件费用。</w:t>
            </w:r>
          </w:p>
          <w:p w14:paraId="63570379">
            <w:pPr>
              <w:spacing w:line="360" w:lineRule="auto"/>
              <w:ind w:left="211" w:hanging="211" w:hangingChars="100"/>
              <w:jc w:val="left"/>
              <w:rPr>
                <w:rFonts w:ascii="宋体" w:hAnsi="宋体" w:cs="Times New Roman"/>
                <w:b/>
                <w:bCs/>
                <w:color w:val="auto"/>
                <w:sz w:val="21"/>
                <w:szCs w:val="24"/>
              </w:rPr>
            </w:pPr>
            <w:r>
              <w:rPr>
                <w:rFonts w:hint="eastAsia" w:ascii="宋体" w:hAnsi="宋体" w:cs="Times New Roman"/>
                <w:b/>
                <w:bCs/>
                <w:color w:val="auto"/>
                <w:sz w:val="21"/>
                <w:szCs w:val="24"/>
                <w:lang w:eastAsia="zh-CN"/>
              </w:rPr>
              <w:t>（</w:t>
            </w:r>
            <w:r>
              <w:rPr>
                <w:rFonts w:hint="eastAsia" w:ascii="宋体" w:hAnsi="宋体" w:cs="Times New Roman"/>
                <w:b/>
                <w:bCs/>
                <w:color w:val="auto"/>
                <w:sz w:val="21"/>
                <w:szCs w:val="24"/>
                <w:lang w:val="en-US" w:eastAsia="zh-CN"/>
              </w:rPr>
              <w:t>2</w:t>
            </w:r>
            <w:r>
              <w:rPr>
                <w:rFonts w:hint="eastAsia" w:ascii="宋体" w:hAnsi="宋体" w:cs="Times New Roman"/>
                <w:b/>
                <w:bCs/>
                <w:color w:val="auto"/>
                <w:sz w:val="21"/>
                <w:szCs w:val="24"/>
                <w:lang w:eastAsia="zh-CN"/>
              </w:rPr>
              <w:t>）</w:t>
            </w:r>
            <w:r>
              <w:rPr>
                <w:rFonts w:hint="eastAsia" w:ascii="宋体" w:hAnsi="宋体" w:cs="Times New Roman"/>
                <w:b/>
                <w:bCs/>
                <w:color w:val="auto"/>
                <w:sz w:val="21"/>
                <w:szCs w:val="24"/>
              </w:rPr>
              <w:t>从中华人民共和国关境外提供的货物：（报CIP/CIF价，其他包括但不限于以下</w:t>
            </w:r>
            <w:r>
              <w:rPr>
                <w:rFonts w:hint="eastAsia" w:ascii="宋体" w:hAnsi="宋体" w:cs="Times New Roman"/>
                <w:b/>
                <w:color w:val="auto"/>
                <w:sz w:val="21"/>
                <w:szCs w:val="24"/>
              </w:rPr>
              <w:t>）：</w:t>
            </w:r>
          </w:p>
          <w:p w14:paraId="3A38666D">
            <w:pPr>
              <w:adjustRightInd w:val="0"/>
              <w:snapToGrid w:val="0"/>
              <w:spacing w:line="400" w:lineRule="exact"/>
              <w:ind w:left="315" w:hanging="315" w:hangingChars="150"/>
              <w:jc w:val="left"/>
              <w:textAlignment w:val="baseline"/>
              <w:rPr>
                <w:rFonts w:ascii="宋体" w:hAnsi="宋体" w:cs="Times New Roman"/>
                <w:color w:val="auto"/>
                <w:kern w:val="0"/>
                <w:sz w:val="21"/>
                <w:szCs w:val="21"/>
                <w:lang w:val="en-GB"/>
              </w:rPr>
            </w:pPr>
            <w:r>
              <w:rPr>
                <w:rFonts w:hint="eastAsia" w:ascii="宋体" w:hAnsi="宋体" w:cs="Times New Roman" w:eastAsiaTheme="minorEastAsia"/>
                <w:color w:val="auto"/>
                <w:kern w:val="0"/>
                <w:sz w:val="21"/>
                <w:szCs w:val="21"/>
              </w:rPr>
              <w:t>1</w:t>
            </w:r>
            <w:r>
              <w:rPr>
                <w:rFonts w:hint="eastAsia" w:ascii="宋体" w:hAnsi="宋体" w:cs="Times New Roman"/>
                <w:color w:val="auto"/>
                <w:kern w:val="0"/>
                <w:sz w:val="21"/>
                <w:szCs w:val="21"/>
                <w:lang w:val="en-GB"/>
              </w:rPr>
              <w:t>）安装与调试、验收、检验、培训、技术文件的移交、质量保证期服务、技术服务、售后服务及招标文件要求提供的其他服务，包括但不限于安装调试过程中损耗、额外材料、设计费等。</w:t>
            </w:r>
          </w:p>
          <w:p w14:paraId="3CD1B6BF">
            <w:pPr>
              <w:adjustRightInd w:val="0"/>
              <w:snapToGrid w:val="0"/>
              <w:spacing w:line="400" w:lineRule="exact"/>
              <w:ind w:left="315" w:hanging="315" w:hangingChars="150"/>
              <w:jc w:val="left"/>
              <w:textAlignment w:val="baseline"/>
              <w:rPr>
                <w:rFonts w:ascii="宋体" w:hAnsi="宋体" w:cs="Times New Roman"/>
                <w:color w:val="auto"/>
                <w:kern w:val="0"/>
                <w:sz w:val="21"/>
                <w:szCs w:val="21"/>
                <w:lang w:val="en-GB"/>
              </w:rPr>
            </w:pPr>
            <w:r>
              <w:rPr>
                <w:rFonts w:hint="eastAsia" w:ascii="宋体" w:hAnsi="宋体" w:cs="Times New Roman"/>
                <w:color w:val="auto"/>
                <w:kern w:val="0"/>
                <w:sz w:val="21"/>
                <w:szCs w:val="21"/>
              </w:rPr>
              <w:t>2</w:t>
            </w:r>
            <w:r>
              <w:rPr>
                <w:rFonts w:hint="eastAsia" w:ascii="宋体" w:hAnsi="宋体" w:cs="Times New Roman"/>
                <w:color w:val="auto"/>
                <w:kern w:val="0"/>
                <w:sz w:val="21"/>
                <w:szCs w:val="21"/>
                <w:lang w:val="en-GB"/>
              </w:rPr>
              <w:t>）设备正常运行所需的专用工具和质量保证期内的备品备件费用。</w:t>
            </w:r>
          </w:p>
          <w:p w14:paraId="7251373F">
            <w:pPr>
              <w:adjustRightInd w:val="0"/>
              <w:snapToGrid w:val="0"/>
              <w:spacing w:line="400" w:lineRule="exact"/>
              <w:ind w:left="315" w:hanging="315" w:hangingChars="150"/>
              <w:jc w:val="left"/>
              <w:textAlignment w:val="baseline"/>
              <w:rPr>
                <w:rFonts w:ascii="宋体" w:hAnsi="宋体" w:cs="Times New Roman"/>
                <w:color w:val="auto"/>
                <w:kern w:val="0"/>
                <w:sz w:val="21"/>
                <w:szCs w:val="21"/>
                <w:lang w:val="en-GB"/>
              </w:rPr>
            </w:pPr>
            <w:r>
              <w:rPr>
                <w:rFonts w:hint="eastAsia" w:ascii="宋体" w:hAnsi="宋体" w:cs="Times New Roman"/>
                <w:color w:val="auto"/>
                <w:kern w:val="0"/>
                <w:sz w:val="21"/>
                <w:szCs w:val="21"/>
                <w:highlight w:val="none"/>
              </w:rPr>
              <w:t>3</w:t>
            </w:r>
            <w:r>
              <w:rPr>
                <w:rFonts w:hint="eastAsia" w:ascii="宋体" w:hAnsi="宋体" w:cs="Times New Roman"/>
                <w:color w:val="auto"/>
                <w:kern w:val="0"/>
                <w:sz w:val="21"/>
                <w:szCs w:val="21"/>
                <w:highlight w:val="none"/>
                <w:lang w:val="en-GB"/>
              </w:rPr>
              <w:t>）按照招标文件的“</w:t>
            </w:r>
            <w:r>
              <w:rPr>
                <w:rFonts w:hint="eastAsia" w:ascii="宋体" w:hAnsi="宋体" w:cs="Times New Roman"/>
                <w:color w:val="auto"/>
                <w:kern w:val="0"/>
                <w:sz w:val="21"/>
                <w:szCs w:val="21"/>
                <w:highlight w:val="none"/>
                <w:lang w:val="en-US" w:eastAsia="zh-CN"/>
              </w:rPr>
              <w:t>招标项目内容</w:t>
            </w:r>
            <w:r>
              <w:rPr>
                <w:rFonts w:hint="eastAsia" w:ascii="宋体" w:hAnsi="宋体" w:cs="Times New Roman"/>
                <w:color w:val="auto"/>
                <w:kern w:val="0"/>
                <w:sz w:val="21"/>
                <w:szCs w:val="21"/>
                <w:highlight w:val="none"/>
                <w:lang w:val="en-GB"/>
              </w:rPr>
              <w:t>”中要求的除以上费用外的其他相关费用</w:t>
            </w:r>
            <w:r>
              <w:rPr>
                <w:rFonts w:hint="eastAsia" w:ascii="宋体" w:hAnsi="宋体" w:cs="Times New Roman"/>
                <w:color w:val="auto"/>
                <w:kern w:val="0"/>
                <w:sz w:val="21"/>
                <w:szCs w:val="21"/>
                <w:lang w:val="en-GB"/>
              </w:rPr>
              <w:t>。</w:t>
            </w:r>
          </w:p>
          <w:p w14:paraId="7CB77ECE">
            <w:pPr>
              <w:adjustRightInd w:val="0"/>
              <w:snapToGrid w:val="0"/>
              <w:spacing w:line="400" w:lineRule="exact"/>
              <w:ind w:left="315" w:hanging="315" w:hangingChars="150"/>
              <w:jc w:val="left"/>
              <w:textAlignment w:val="baseline"/>
              <w:rPr>
                <w:rFonts w:ascii="宋体" w:hAnsi="宋体" w:cs="Times New Roman"/>
                <w:color w:val="auto"/>
                <w:kern w:val="0"/>
                <w:sz w:val="21"/>
                <w:szCs w:val="21"/>
                <w:lang w:val="en-GB"/>
              </w:rPr>
            </w:pPr>
            <w:r>
              <w:rPr>
                <w:rFonts w:hint="eastAsia" w:ascii="宋体" w:hAnsi="宋体" w:cs="Times New Roman"/>
                <w:color w:val="auto"/>
                <w:kern w:val="0"/>
                <w:sz w:val="21"/>
                <w:szCs w:val="21"/>
              </w:rPr>
              <w:t>4</w:t>
            </w:r>
            <w:r>
              <w:rPr>
                <w:rFonts w:hint="eastAsia" w:ascii="宋体" w:hAnsi="宋体" w:cs="Times New Roman"/>
                <w:color w:val="auto"/>
                <w:kern w:val="0"/>
                <w:sz w:val="21"/>
                <w:szCs w:val="21"/>
                <w:lang w:val="en-GB"/>
              </w:rPr>
              <w:t>）</w:t>
            </w:r>
            <w:r>
              <w:rPr>
                <w:rFonts w:hint="eastAsia" w:ascii="宋体" w:hAnsi="宋体" w:cs="Times New Roman"/>
                <w:color w:val="auto"/>
                <w:kern w:val="0"/>
                <w:sz w:val="21"/>
                <w:szCs w:val="21"/>
              </w:rPr>
              <w:t>货物自目的港报关提货后，运至招标人指定交货地的关境内运输、保险费用，及其他与货物交运相关的其他费用。（如有）</w:t>
            </w:r>
          </w:p>
          <w:p w14:paraId="12BB6136">
            <w:pPr>
              <w:adjustRightInd w:val="0"/>
              <w:snapToGrid w:val="0"/>
              <w:spacing w:line="400" w:lineRule="exact"/>
              <w:jc w:val="left"/>
              <w:textAlignment w:val="baseline"/>
              <w:rPr>
                <w:rFonts w:ascii="宋体" w:hAnsi="宋体" w:cs="Times New Roman"/>
                <w:b/>
                <w:bCs/>
                <w:color w:val="auto"/>
                <w:kern w:val="0"/>
                <w:sz w:val="21"/>
                <w:szCs w:val="21"/>
              </w:rPr>
            </w:pPr>
            <w:r>
              <w:rPr>
                <w:rFonts w:hint="eastAsia" w:ascii="宋体" w:hAnsi="宋体" w:cs="Times New Roman"/>
                <w:b/>
                <w:bCs/>
                <w:color w:val="auto"/>
                <w:kern w:val="0"/>
                <w:sz w:val="21"/>
                <w:szCs w:val="21"/>
              </w:rPr>
              <w:t>注：</w:t>
            </w:r>
          </w:p>
          <w:p w14:paraId="661C91F9">
            <w:pPr>
              <w:numPr>
                <w:ilvl w:val="0"/>
                <w:numId w:val="0"/>
              </w:numPr>
              <w:adjustRightInd w:val="0"/>
              <w:snapToGrid w:val="0"/>
              <w:spacing w:line="400" w:lineRule="exact"/>
              <w:jc w:val="left"/>
              <w:textAlignment w:val="baseline"/>
              <w:rPr>
                <w:rFonts w:hint="eastAsia" w:ascii="宋体" w:hAnsi="宋体"/>
                <w:b/>
                <w:bCs/>
                <w:color w:val="auto"/>
                <w:sz w:val="21"/>
                <w:szCs w:val="21"/>
                <w:lang w:val="en-GB"/>
              </w:rPr>
            </w:pPr>
            <w:r>
              <w:rPr>
                <w:rFonts w:hint="eastAsia" w:ascii="宋体" w:hAnsi="宋体"/>
                <w:b/>
                <w:bCs/>
                <w:color w:val="auto"/>
                <w:sz w:val="21"/>
                <w:szCs w:val="21"/>
                <w:lang w:val="en-GB"/>
              </w:rPr>
              <w:t>①在海关特殊监管区域内企业生产及加工、并可直接销往内地其他区域的产品，请按上述第1）项报DDP价。</w:t>
            </w:r>
          </w:p>
          <w:p w14:paraId="22C577A0">
            <w:pPr>
              <w:numPr>
                <w:ilvl w:val="0"/>
                <w:numId w:val="0"/>
              </w:numPr>
              <w:adjustRightInd w:val="0"/>
              <w:snapToGrid w:val="0"/>
              <w:spacing w:line="400" w:lineRule="exact"/>
              <w:jc w:val="left"/>
              <w:textAlignment w:val="baseline"/>
              <w:rPr>
                <w:rFonts w:hint="eastAsia" w:ascii="宋体" w:hAnsi="宋体"/>
                <w:b/>
                <w:bCs/>
                <w:color w:val="auto"/>
                <w:sz w:val="21"/>
                <w:szCs w:val="21"/>
                <w:lang w:val="en-GB"/>
              </w:rPr>
            </w:pPr>
            <w:r>
              <w:rPr>
                <w:rFonts w:hint="eastAsia" w:ascii="宋体" w:hAnsi="宋体"/>
                <w:b/>
                <w:bCs/>
                <w:color w:val="auto"/>
                <w:sz w:val="21"/>
                <w:szCs w:val="21"/>
                <w:lang w:val="en-GB"/>
              </w:rPr>
              <w:t>②招标人为科研单位，从中华人民共和国关境外进口货物，享受科研设备进口减免税优惠政策，减免税手续由招标人另外委托其外贸代理公司负责办理，投标人如果中标，在外贸合同签署后，需提供申办进口免税必须的相关资料，如因投标人或者产品本身原因不符合免税政策（例如在海关特殊监管区域内企业生产及加工、并可直接销往内地其他区域的产品），则投标人需要负责缴纳全部关税、增值税和其他税；如因投标人未及时配合或资料不实导致找别人无法享受免税政策或产生额外税费，招标人有权要求投标人全额赔偿由此产生的全部损失。</w:t>
            </w:r>
          </w:p>
          <w:p w14:paraId="22437271">
            <w:pPr>
              <w:numPr>
                <w:ilvl w:val="0"/>
                <w:numId w:val="0"/>
              </w:numPr>
              <w:adjustRightInd w:val="0"/>
              <w:snapToGrid w:val="0"/>
              <w:spacing w:line="400" w:lineRule="exact"/>
              <w:jc w:val="left"/>
              <w:textAlignment w:val="baseline"/>
              <w:rPr>
                <w:rFonts w:ascii="宋体" w:hAnsi="宋体"/>
                <w:b/>
                <w:bCs/>
                <w:color w:val="auto"/>
                <w:sz w:val="21"/>
                <w:szCs w:val="21"/>
              </w:rPr>
            </w:pPr>
            <w:r>
              <w:rPr>
                <w:rFonts w:hint="eastAsia" w:ascii="宋体" w:hAnsi="宋体"/>
                <w:b/>
                <w:bCs/>
                <w:color w:val="auto"/>
                <w:sz w:val="21"/>
                <w:szCs w:val="21"/>
                <w:lang w:val="en-GB"/>
              </w:rPr>
              <w:t>③外贸代理公司由招标人指定，外贸进口代理服务费由招标人另行支付，不包含在投标价中。</w:t>
            </w:r>
          </w:p>
          <w:p w14:paraId="4B55CBF9">
            <w:pPr>
              <w:tabs>
                <w:tab w:val="left" w:pos="540"/>
              </w:tabs>
              <w:spacing w:line="360" w:lineRule="auto"/>
              <w:ind w:left="210" w:hanging="210" w:hangingChars="100"/>
              <w:rPr>
                <w:rFonts w:hint="eastAsia" w:ascii="宋体" w:hAnsi="宋体"/>
                <w:color w:val="auto"/>
                <w:sz w:val="21"/>
                <w:szCs w:val="21"/>
                <w:lang w:val="en-GB"/>
              </w:rPr>
            </w:pPr>
            <w:r>
              <w:rPr>
                <w:rFonts w:hint="eastAsia" w:ascii="宋体" w:hAnsi="宋体"/>
                <w:color w:val="auto"/>
                <w:sz w:val="21"/>
                <w:szCs w:val="21"/>
                <w:lang w:val="en-US" w:eastAsia="zh-CN"/>
              </w:rPr>
              <w:t>3</w:t>
            </w:r>
            <w:r>
              <w:rPr>
                <w:rFonts w:hint="eastAsia" w:ascii="宋体" w:hAnsi="宋体"/>
                <w:color w:val="auto"/>
                <w:sz w:val="21"/>
                <w:szCs w:val="21"/>
                <w:lang w:val="en-GB"/>
              </w:rPr>
              <w:t>.投标人须考虑本项目在实施期间的一切可能产生的费用。</w:t>
            </w:r>
          </w:p>
          <w:p w14:paraId="4BF94A11">
            <w:pPr>
              <w:tabs>
                <w:tab w:val="left" w:pos="540"/>
              </w:tabs>
              <w:spacing w:line="360" w:lineRule="auto"/>
              <w:ind w:left="210" w:hanging="210" w:hangingChars="100"/>
              <w:rPr>
                <w:rFonts w:hint="eastAsia" w:ascii="宋体" w:hAnsi="宋体"/>
                <w:color w:val="auto"/>
                <w:sz w:val="21"/>
                <w:szCs w:val="21"/>
                <w:lang w:val="en-GB"/>
              </w:rPr>
            </w:pPr>
            <w:r>
              <w:rPr>
                <w:rFonts w:hint="eastAsia" w:ascii="宋体" w:hAnsi="宋体"/>
                <w:color w:val="auto"/>
                <w:sz w:val="21"/>
                <w:szCs w:val="21"/>
                <w:lang w:val="en-US" w:eastAsia="zh-CN"/>
              </w:rPr>
              <w:t>4</w:t>
            </w:r>
            <w:r>
              <w:rPr>
                <w:rFonts w:hint="eastAsia" w:ascii="宋体" w:hAnsi="宋体"/>
                <w:color w:val="auto"/>
                <w:sz w:val="21"/>
                <w:szCs w:val="21"/>
                <w:lang w:val="en-GB"/>
              </w:rPr>
              <w:t>.报价不得高于本项目的采购项目预算金额，否则视为无效报价，作无效投标处理。</w:t>
            </w:r>
          </w:p>
          <w:p w14:paraId="38E8658E">
            <w:pPr>
              <w:tabs>
                <w:tab w:val="left" w:pos="540"/>
              </w:tabs>
              <w:spacing w:line="360" w:lineRule="auto"/>
              <w:ind w:left="210" w:hanging="210" w:hangingChars="100"/>
              <w:rPr>
                <w:rFonts w:asciiTheme="minorEastAsia" w:hAnsiTheme="minorEastAsia" w:eastAsiaTheme="minorEastAsia"/>
                <w:color w:val="auto"/>
                <w:sz w:val="21"/>
                <w:szCs w:val="21"/>
              </w:rPr>
            </w:pPr>
            <w:r>
              <w:rPr>
                <w:rFonts w:hint="eastAsia" w:ascii="宋体" w:hAnsi="宋体"/>
                <w:color w:val="auto"/>
                <w:sz w:val="21"/>
                <w:szCs w:val="21"/>
                <w:lang w:val="en-US" w:eastAsia="zh-CN"/>
              </w:rPr>
              <w:t>5</w:t>
            </w:r>
            <w:r>
              <w:rPr>
                <w:rFonts w:hint="eastAsia" w:ascii="宋体" w:hAnsi="宋体"/>
                <w:color w:val="auto"/>
                <w:sz w:val="21"/>
                <w:szCs w:val="21"/>
                <w:lang w:val="en-GB"/>
              </w:rPr>
              <w:t>.报价合理性：根据《政府采购货物和服务招标投标</w:t>
            </w:r>
            <w:r>
              <w:rPr>
                <w:rFonts w:hint="eastAsia" w:ascii="宋体" w:hAnsi="宋体"/>
                <w:color w:val="auto"/>
                <w:sz w:val="21"/>
                <w:szCs w:val="21"/>
              </w:rPr>
              <w:t>管理办法》第六十条的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3B1F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673" w:type="dxa"/>
            <w:vAlign w:val="center"/>
          </w:tcPr>
          <w:p w14:paraId="2092A310">
            <w:pPr>
              <w:tabs>
                <w:tab w:val="left" w:pos="180"/>
              </w:tabs>
              <w:spacing w:line="360" w:lineRule="auto"/>
              <w:jc w:val="center"/>
              <w:rPr>
                <w:rFonts w:hint="eastAsia" w:cs="Calibri" w:asciiTheme="minorEastAsia" w:hAnsiTheme="minorEastAsia" w:eastAsiaTheme="minorEastAsia"/>
                <w:color w:val="auto"/>
                <w:kern w:val="2"/>
                <w:sz w:val="21"/>
                <w:szCs w:val="21"/>
                <w:lang w:val="en-US" w:eastAsia="zh-CN" w:bidi="ar-SA"/>
              </w:rPr>
            </w:pPr>
            <w:r>
              <w:rPr>
                <w:rFonts w:hint="eastAsia" w:asciiTheme="minorEastAsia" w:hAnsiTheme="minorEastAsia" w:eastAsiaTheme="minorEastAsia"/>
                <w:color w:val="auto"/>
                <w:sz w:val="21"/>
                <w:szCs w:val="21"/>
                <w:lang w:val="en-US" w:eastAsia="zh-CN"/>
              </w:rPr>
              <w:t>3</w:t>
            </w:r>
          </w:p>
        </w:tc>
        <w:tc>
          <w:tcPr>
            <w:tcW w:w="1623" w:type="dxa"/>
            <w:vAlign w:val="center"/>
          </w:tcPr>
          <w:p w14:paraId="4868FCA1">
            <w:pPr>
              <w:spacing w:line="360" w:lineRule="auto"/>
              <w:jc w:val="center"/>
              <w:rPr>
                <w:rFonts w:hint="eastAsia" w:cs="Calibri" w:asciiTheme="minorEastAsia" w:hAnsiTheme="minorEastAsia" w:eastAsiaTheme="minorEastAsia"/>
                <w:color w:val="auto"/>
                <w:kern w:val="2"/>
                <w:sz w:val="21"/>
                <w:szCs w:val="21"/>
                <w:lang w:val="en-US" w:eastAsia="zh-CN" w:bidi="ar-SA"/>
              </w:rPr>
            </w:pPr>
            <w:r>
              <w:rPr>
                <w:rFonts w:hint="eastAsia" w:asciiTheme="minorEastAsia" w:hAnsiTheme="minorEastAsia" w:eastAsiaTheme="minorEastAsia"/>
                <w:color w:val="auto"/>
                <w:sz w:val="21"/>
                <w:szCs w:val="21"/>
              </w:rPr>
              <w:t>投标货币</w:t>
            </w:r>
          </w:p>
        </w:tc>
        <w:tc>
          <w:tcPr>
            <w:tcW w:w="7241" w:type="dxa"/>
            <w:vAlign w:val="center"/>
          </w:tcPr>
          <w:p w14:paraId="60865F37">
            <w:pPr>
              <w:tabs>
                <w:tab w:val="left" w:pos="540"/>
              </w:tabs>
              <w:spacing w:line="312" w:lineRule="auto"/>
              <w:ind w:left="211" w:hanging="211" w:hangingChars="100"/>
              <w:rPr>
                <w:rFonts w:hint="eastAsia" w:ascii="宋体" w:hAnsi="宋体"/>
                <w:b/>
                <w:color w:val="auto"/>
                <w:sz w:val="21"/>
                <w:szCs w:val="21"/>
                <w:lang w:val="en-US" w:eastAsia="zh-CN"/>
              </w:rPr>
            </w:pPr>
            <w:r>
              <w:rPr>
                <w:rFonts w:hint="eastAsia" w:ascii="宋体" w:hAnsi="宋体"/>
                <w:b/>
                <w:color w:val="auto"/>
                <w:sz w:val="21"/>
                <w:szCs w:val="21"/>
                <w:lang w:val="en-US" w:eastAsia="zh-CN"/>
              </w:rPr>
              <w:t>从中华人民共和国关境外提供的货物和服务：人民币或外币，投标总价为固定不变价。</w:t>
            </w:r>
          </w:p>
          <w:p w14:paraId="75B3A162">
            <w:pPr>
              <w:tabs>
                <w:tab w:val="left" w:pos="540"/>
              </w:tabs>
              <w:spacing w:line="360" w:lineRule="auto"/>
              <w:ind w:left="210" w:hanging="210" w:hangingChars="100"/>
              <w:rPr>
                <w:rFonts w:hint="eastAsia" w:ascii="宋体" w:hAnsi="宋体"/>
                <w:color w:val="auto"/>
                <w:sz w:val="21"/>
                <w:szCs w:val="21"/>
                <w:lang w:val="en-US" w:eastAsia="zh-CN"/>
              </w:rPr>
            </w:pPr>
            <w:r>
              <w:rPr>
                <w:rFonts w:hint="eastAsia" w:ascii="宋体" w:hAnsi="宋体"/>
                <w:color w:val="auto"/>
                <w:sz w:val="21"/>
                <w:szCs w:val="21"/>
              </w:rPr>
              <w:t>1</w:t>
            </w:r>
            <w:r>
              <w:rPr>
                <w:rFonts w:hint="eastAsia" w:ascii="宋体" w:hAnsi="宋体"/>
                <w:color w:val="auto"/>
                <w:sz w:val="21"/>
                <w:szCs w:val="21"/>
                <w:lang w:val="en-GB"/>
              </w:rPr>
              <w:t>.</w:t>
            </w:r>
            <w:r>
              <w:rPr>
                <w:rFonts w:hint="eastAsia" w:ascii="宋体" w:hAnsi="宋体"/>
                <w:color w:val="auto"/>
                <w:sz w:val="21"/>
                <w:szCs w:val="21"/>
                <w:lang w:val="en-US" w:eastAsia="zh-CN"/>
              </w:rPr>
              <w:t>若以人民币报价，以人民币签订合同。</w:t>
            </w:r>
          </w:p>
          <w:p w14:paraId="4252F684">
            <w:pPr>
              <w:tabs>
                <w:tab w:val="left" w:pos="540"/>
              </w:tabs>
              <w:spacing w:line="360" w:lineRule="auto"/>
              <w:ind w:left="210" w:hanging="210" w:hangingChars="100"/>
              <w:rPr>
                <w:rFonts w:hint="eastAsia" w:ascii="宋体" w:hAnsi="宋体"/>
                <w:color w:val="auto"/>
                <w:sz w:val="21"/>
                <w:szCs w:val="21"/>
                <w:lang w:val="en-US" w:eastAsia="zh-CN"/>
              </w:rPr>
            </w:pPr>
            <w:r>
              <w:rPr>
                <w:rFonts w:hint="eastAsia" w:ascii="宋体" w:hAnsi="宋体"/>
                <w:color w:val="auto"/>
                <w:sz w:val="21"/>
                <w:szCs w:val="21"/>
                <w:lang w:val="en-US" w:eastAsia="zh-CN"/>
              </w:rPr>
              <w:t>2</w:t>
            </w:r>
            <w:r>
              <w:rPr>
                <w:rFonts w:hint="eastAsia" w:ascii="宋体" w:hAnsi="宋体"/>
                <w:color w:val="auto"/>
                <w:sz w:val="21"/>
                <w:szCs w:val="21"/>
                <w:lang w:val="en-GB"/>
              </w:rPr>
              <w:t>.</w:t>
            </w:r>
            <w:r>
              <w:rPr>
                <w:rFonts w:hint="eastAsia" w:ascii="宋体" w:hAnsi="宋体"/>
                <w:color w:val="auto"/>
                <w:sz w:val="21"/>
                <w:szCs w:val="21"/>
                <w:lang w:val="en-US" w:eastAsia="zh-CN"/>
              </w:rPr>
              <w:t>若以外币报价，签订合同的价格即为开标当日所报的外币金额。</w:t>
            </w:r>
          </w:p>
          <w:p w14:paraId="013DD81A">
            <w:pPr>
              <w:tabs>
                <w:tab w:val="left" w:pos="540"/>
              </w:tabs>
              <w:spacing w:line="360" w:lineRule="auto"/>
              <w:ind w:left="210" w:hanging="210" w:hangingChars="100"/>
              <w:rPr>
                <w:rFonts w:hint="eastAsia" w:ascii="Times New Roman" w:hAnsi="Times New Roman" w:eastAsia="宋体" w:cs="Times New Roman"/>
                <w:color w:val="auto"/>
                <w:kern w:val="2"/>
                <w:sz w:val="21"/>
                <w:szCs w:val="24"/>
                <w:lang w:val="en-US" w:eastAsia="zh-CN" w:bidi="ar-SA"/>
              </w:rPr>
            </w:pPr>
            <w:r>
              <w:rPr>
                <w:rFonts w:hint="eastAsia" w:ascii="宋体" w:hAnsi="宋体"/>
                <w:color w:val="auto"/>
                <w:sz w:val="21"/>
                <w:szCs w:val="21"/>
                <w:lang w:val="en-US" w:eastAsia="zh-CN"/>
              </w:rPr>
              <w:t>注：最高限价为人民币限价，若以</w:t>
            </w:r>
            <w:r>
              <w:rPr>
                <w:rFonts w:hint="eastAsia" w:ascii="宋体" w:hAnsi="宋体"/>
                <w:color w:val="auto"/>
                <w:sz w:val="21"/>
                <w:szCs w:val="21"/>
              </w:rPr>
              <w:t>外币报价</w:t>
            </w:r>
            <w:r>
              <w:rPr>
                <w:rFonts w:hint="eastAsia" w:ascii="宋体" w:hAnsi="宋体"/>
                <w:color w:val="auto"/>
                <w:sz w:val="21"/>
                <w:szCs w:val="21"/>
                <w:lang w:val="en-US" w:eastAsia="zh-CN"/>
              </w:rPr>
              <w:t>的</w:t>
            </w:r>
            <w:r>
              <w:rPr>
                <w:rFonts w:hint="eastAsia" w:ascii="宋体" w:hAnsi="宋体"/>
                <w:color w:val="auto"/>
                <w:sz w:val="21"/>
                <w:szCs w:val="21"/>
              </w:rPr>
              <w:t>，则按开标当日中国银行总行首次发布的外币对人民币的现汇卖出价折算</w:t>
            </w:r>
            <w:r>
              <w:rPr>
                <w:rFonts w:hint="eastAsia" w:ascii="宋体" w:hAnsi="宋体"/>
                <w:color w:val="auto"/>
                <w:sz w:val="21"/>
                <w:szCs w:val="21"/>
                <w:lang w:eastAsia="zh-CN"/>
              </w:rPr>
              <w:t>。</w:t>
            </w:r>
          </w:p>
        </w:tc>
      </w:tr>
      <w:tr w14:paraId="393C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673" w:type="dxa"/>
            <w:vAlign w:val="center"/>
          </w:tcPr>
          <w:p w14:paraId="37A8B80A">
            <w:pPr>
              <w:tabs>
                <w:tab w:val="left" w:pos="180"/>
              </w:tabs>
              <w:spacing w:line="360" w:lineRule="auto"/>
              <w:jc w:val="center"/>
              <w:rPr>
                <w:rFonts w:hint="eastAsia" w:asciiTheme="minorEastAsia" w:hAnsiTheme="minorEastAsia" w:eastAsiaTheme="minorEastAsia"/>
                <w:color w:val="auto"/>
                <w:sz w:val="21"/>
                <w:szCs w:val="21"/>
                <w:lang w:eastAsia="zh-CN"/>
              </w:rPr>
            </w:pPr>
            <w:r>
              <w:rPr>
                <w:rFonts w:hint="eastAsia" w:asciiTheme="minorEastAsia" w:hAnsiTheme="minorEastAsia" w:eastAsiaTheme="minorEastAsia"/>
                <w:color w:val="auto"/>
                <w:sz w:val="21"/>
                <w:szCs w:val="21"/>
                <w:lang w:val="en-US" w:eastAsia="zh-CN"/>
              </w:rPr>
              <w:t>4</w:t>
            </w:r>
          </w:p>
        </w:tc>
        <w:tc>
          <w:tcPr>
            <w:tcW w:w="1623" w:type="dxa"/>
            <w:vAlign w:val="center"/>
          </w:tcPr>
          <w:p w14:paraId="578DCF20">
            <w:pPr>
              <w:spacing w:line="360" w:lineRule="auto"/>
              <w:jc w:val="cente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交货期</w:t>
            </w:r>
          </w:p>
        </w:tc>
        <w:tc>
          <w:tcPr>
            <w:tcW w:w="7241" w:type="dxa"/>
            <w:vAlign w:val="center"/>
          </w:tcPr>
          <w:p w14:paraId="17E23C6A">
            <w:pPr>
              <w:tabs>
                <w:tab w:val="left" w:pos="540"/>
              </w:tabs>
              <w:snapToGrid w:val="0"/>
              <w:spacing w:line="360" w:lineRule="auto"/>
              <w:ind w:left="210" w:hanging="210" w:hangingChars="100"/>
              <w:rPr>
                <w:rFonts w:asciiTheme="minorEastAsia" w:hAnsiTheme="minorEastAsia" w:eastAsiaTheme="minorEastAsia"/>
                <w:b/>
                <w:bCs/>
                <w:color w:val="auto"/>
                <w:sz w:val="21"/>
                <w:szCs w:val="21"/>
              </w:rPr>
            </w:pPr>
            <w:r>
              <w:rPr>
                <w:rFonts w:hint="eastAsia" w:asciiTheme="minorEastAsia" w:hAnsiTheme="minorEastAsia" w:eastAsiaTheme="minorEastAsia"/>
                <w:color w:val="auto"/>
                <w:sz w:val="21"/>
                <w:szCs w:val="21"/>
              </w:rPr>
              <w:t>1</w:t>
            </w:r>
            <w:r>
              <w:rPr>
                <w:rFonts w:hint="eastAsia" w:asciiTheme="minorEastAsia" w:hAnsiTheme="minorEastAsia" w:eastAsiaTheme="minorEastAsia"/>
                <w:color w:val="auto"/>
                <w:sz w:val="21"/>
                <w:szCs w:val="21"/>
                <w:lang w:val="en-GB"/>
              </w:rPr>
              <w:t>.交货期：</w:t>
            </w:r>
            <w:r>
              <w:rPr>
                <w:rFonts w:hint="eastAsia" w:hAnsi="宋体"/>
                <w:b w:val="0"/>
                <w:bCs w:val="0"/>
                <w:color w:val="auto"/>
                <w:sz w:val="21"/>
                <w:szCs w:val="21"/>
              </w:rPr>
              <w:t>自合同签订之日</w:t>
            </w:r>
            <w:r>
              <w:rPr>
                <w:rFonts w:hint="eastAsia" w:asciiTheme="minorEastAsia" w:hAnsiTheme="minorEastAsia" w:eastAsiaTheme="minorEastAsia"/>
                <w:b w:val="0"/>
                <w:bCs w:val="0"/>
                <w:color w:val="auto"/>
                <w:sz w:val="21"/>
                <w:szCs w:val="21"/>
                <w:lang w:val="en-GB"/>
              </w:rPr>
              <w:t>起</w:t>
            </w:r>
            <w:r>
              <w:rPr>
                <w:rFonts w:hint="eastAsia" w:asciiTheme="minorEastAsia" w:hAnsiTheme="minorEastAsia" w:eastAsiaTheme="minorEastAsia"/>
                <w:b w:val="0"/>
                <w:bCs w:val="0"/>
                <w:color w:val="auto"/>
                <w:sz w:val="21"/>
                <w:szCs w:val="21"/>
                <w:u w:val="single"/>
                <w:lang w:val="en-US" w:eastAsia="zh-CN"/>
              </w:rPr>
              <w:t xml:space="preserve">  2  </w:t>
            </w:r>
            <w:r>
              <w:rPr>
                <w:rFonts w:hint="eastAsia" w:asciiTheme="minorEastAsia" w:hAnsiTheme="minorEastAsia" w:eastAsiaTheme="minorEastAsia"/>
                <w:b w:val="0"/>
                <w:bCs w:val="0"/>
                <w:color w:val="auto"/>
                <w:sz w:val="21"/>
                <w:szCs w:val="21"/>
              </w:rPr>
              <w:t>个月</w:t>
            </w:r>
            <w:r>
              <w:rPr>
                <w:rFonts w:hint="eastAsia" w:hAnsi="宋体"/>
                <w:b w:val="0"/>
                <w:bCs w:val="0"/>
                <w:color w:val="auto"/>
                <w:sz w:val="21"/>
                <w:szCs w:val="21"/>
              </w:rPr>
              <w:t>内</w:t>
            </w:r>
            <w:r>
              <w:rPr>
                <w:rFonts w:hint="eastAsia" w:asciiTheme="minorEastAsia" w:hAnsiTheme="minorEastAsia" w:eastAsiaTheme="minorEastAsia"/>
                <w:b w:val="0"/>
                <w:bCs w:val="0"/>
                <w:color w:val="auto"/>
                <w:sz w:val="21"/>
                <w:szCs w:val="21"/>
                <w:lang w:val="en-GB"/>
              </w:rPr>
              <w:t>。</w:t>
            </w:r>
          </w:p>
          <w:p w14:paraId="6DA35B81">
            <w:pPr>
              <w:tabs>
                <w:tab w:val="left" w:pos="540"/>
              </w:tabs>
              <w:snapToGrid w:val="0"/>
              <w:spacing w:line="360" w:lineRule="auto"/>
              <w:ind w:left="210" w:leftChars="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GB"/>
              </w:rPr>
              <w:t>2.如中标人未能按时履行交货义务，招标人有权单方面终止合同，中标人需退还招标人已支付的全部款项，并赔偿招标人由此造成遭受的全部损失。如招标人选择继续履行合同的，中标人应积极支付逾期违约金，赔偿因逾期造成的实际损失，并全面履行合同项下义务。</w:t>
            </w:r>
          </w:p>
        </w:tc>
      </w:tr>
      <w:tr w14:paraId="65233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673" w:type="dxa"/>
            <w:vAlign w:val="center"/>
          </w:tcPr>
          <w:p w14:paraId="2970844B">
            <w:pPr>
              <w:tabs>
                <w:tab w:val="left" w:pos="180"/>
              </w:tabs>
              <w:spacing w:line="360" w:lineRule="auto"/>
              <w:jc w:val="center"/>
              <w:rPr>
                <w:rFonts w:hint="eastAsia" w:asciiTheme="minorEastAsia" w:hAnsiTheme="minorEastAsia" w:eastAsiaTheme="minorEastAsia"/>
                <w:color w:val="auto"/>
                <w:sz w:val="21"/>
                <w:szCs w:val="21"/>
                <w:lang w:eastAsia="zh-CN"/>
              </w:rPr>
            </w:pPr>
            <w:r>
              <w:rPr>
                <w:rFonts w:hint="eastAsia" w:asciiTheme="minorEastAsia" w:hAnsiTheme="minorEastAsia" w:eastAsiaTheme="minorEastAsia"/>
                <w:color w:val="auto"/>
                <w:sz w:val="21"/>
                <w:szCs w:val="21"/>
                <w:lang w:val="en-US" w:eastAsia="zh-CN"/>
              </w:rPr>
              <w:t>5</w:t>
            </w:r>
          </w:p>
        </w:tc>
        <w:tc>
          <w:tcPr>
            <w:tcW w:w="1623" w:type="dxa"/>
            <w:vAlign w:val="center"/>
          </w:tcPr>
          <w:p w14:paraId="668033DC">
            <w:pPr>
              <w:spacing w:line="360" w:lineRule="auto"/>
              <w:ind w:left="-94" w:leftChars="-45" w:right="-94" w:rightChars="-45"/>
              <w:jc w:val="cente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GB"/>
              </w:rPr>
              <w:t>交</w:t>
            </w:r>
            <w:r>
              <w:rPr>
                <w:rFonts w:hint="eastAsia" w:asciiTheme="minorEastAsia" w:hAnsiTheme="minorEastAsia" w:eastAsiaTheme="minorEastAsia"/>
                <w:color w:val="auto"/>
                <w:sz w:val="21"/>
                <w:szCs w:val="21"/>
              </w:rPr>
              <w:t>货</w:t>
            </w:r>
            <w:r>
              <w:rPr>
                <w:rFonts w:hint="eastAsia" w:asciiTheme="minorEastAsia" w:hAnsiTheme="minorEastAsia" w:eastAsiaTheme="minorEastAsia"/>
                <w:color w:val="auto"/>
                <w:sz w:val="21"/>
                <w:szCs w:val="21"/>
                <w:lang w:val="en-GB"/>
              </w:rPr>
              <w:t>地点</w:t>
            </w:r>
          </w:p>
        </w:tc>
        <w:tc>
          <w:tcPr>
            <w:tcW w:w="7241" w:type="dxa"/>
            <w:vAlign w:val="center"/>
          </w:tcPr>
          <w:p w14:paraId="096E223A">
            <w:pPr>
              <w:spacing w:line="360" w:lineRule="auto"/>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GB"/>
              </w:rPr>
              <w:t>招标人指定地点（季华实验室）。</w:t>
            </w:r>
          </w:p>
        </w:tc>
      </w:tr>
      <w:tr w14:paraId="5868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673" w:type="dxa"/>
            <w:vAlign w:val="center"/>
          </w:tcPr>
          <w:p w14:paraId="75648486">
            <w:pPr>
              <w:tabs>
                <w:tab w:val="left" w:pos="180"/>
              </w:tabs>
              <w:spacing w:line="360" w:lineRule="auto"/>
              <w:jc w:val="center"/>
              <w:rPr>
                <w:rFonts w:hint="eastAsia" w:asciiTheme="minorEastAsia" w:hAnsiTheme="minorEastAsia" w:eastAsiaTheme="minorEastAsia"/>
                <w:color w:val="auto"/>
                <w:sz w:val="21"/>
                <w:szCs w:val="21"/>
                <w:lang w:eastAsia="zh-CN"/>
              </w:rPr>
            </w:pPr>
            <w:r>
              <w:rPr>
                <w:rFonts w:hint="eastAsia" w:asciiTheme="minorEastAsia" w:hAnsiTheme="minorEastAsia" w:eastAsiaTheme="minorEastAsia"/>
                <w:color w:val="auto"/>
                <w:sz w:val="21"/>
                <w:szCs w:val="21"/>
                <w:lang w:val="en-US" w:eastAsia="zh-CN"/>
              </w:rPr>
              <w:t>6</w:t>
            </w:r>
          </w:p>
        </w:tc>
        <w:tc>
          <w:tcPr>
            <w:tcW w:w="1623" w:type="dxa"/>
            <w:vAlign w:val="center"/>
          </w:tcPr>
          <w:p w14:paraId="0AE03483">
            <w:pPr>
              <w:spacing w:line="360" w:lineRule="auto"/>
              <w:ind w:right="-92" w:rightChars="-44"/>
              <w:jc w:val="cente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GB"/>
              </w:rPr>
              <w:t>付款办法</w:t>
            </w:r>
          </w:p>
        </w:tc>
        <w:tc>
          <w:tcPr>
            <w:tcW w:w="7241" w:type="dxa"/>
            <w:vAlign w:val="center"/>
          </w:tcPr>
          <w:p w14:paraId="37579988">
            <w:pPr>
              <w:spacing w:line="360" w:lineRule="auto"/>
              <w:ind w:left="315" w:hanging="316" w:hangingChars="150"/>
              <w:rPr>
                <w:rFonts w:hint="eastAsia" w:ascii="宋体" w:hAnsi="宋体"/>
                <w:b/>
                <w:bCs/>
                <w:color w:val="auto"/>
                <w:sz w:val="21"/>
                <w:szCs w:val="21"/>
                <w:lang w:val="en-GB"/>
              </w:rPr>
            </w:pPr>
            <w:r>
              <w:rPr>
                <w:rFonts w:hint="eastAsia" w:ascii="宋体" w:hAnsi="宋体"/>
                <w:b/>
                <w:bCs/>
                <w:color w:val="auto"/>
                <w:sz w:val="21"/>
                <w:szCs w:val="21"/>
                <w:lang w:val="en-US" w:eastAsia="zh-CN"/>
              </w:rPr>
              <w:t>1.</w:t>
            </w:r>
            <w:r>
              <w:rPr>
                <w:rFonts w:hint="eastAsia" w:ascii="宋体" w:hAnsi="宋体"/>
                <w:b/>
                <w:bCs/>
                <w:color w:val="auto"/>
                <w:sz w:val="21"/>
                <w:szCs w:val="21"/>
                <w:lang w:val="en-GB"/>
              </w:rPr>
              <w:t>合同款项支付阶段和比例如下：</w:t>
            </w:r>
          </w:p>
          <w:p w14:paraId="405645C3">
            <w:pPr>
              <w:spacing w:line="360" w:lineRule="auto"/>
              <w:rPr>
                <w:rFonts w:hint="eastAsia" w:asciiTheme="minorEastAsia" w:hAnsiTheme="minorEastAsia" w:eastAsiaTheme="minorEastAsia"/>
                <w:b/>
                <w:bCs/>
                <w:color w:val="auto"/>
                <w:sz w:val="21"/>
                <w:szCs w:val="21"/>
                <w:lang w:val="en-GB" w:eastAsia="zh-CN"/>
              </w:rPr>
            </w:pPr>
            <w:r>
              <w:rPr>
                <w:rFonts w:hint="eastAsia" w:asciiTheme="minorEastAsia" w:hAnsiTheme="minorEastAsia" w:eastAsiaTheme="minorEastAsia"/>
                <w:b/>
                <w:bCs/>
                <w:color w:val="auto"/>
                <w:sz w:val="21"/>
                <w:szCs w:val="21"/>
                <w:lang w:val="en-GB" w:eastAsia="zh-CN"/>
              </w:rPr>
              <w:t>（</w:t>
            </w:r>
            <w:r>
              <w:rPr>
                <w:rFonts w:hint="eastAsia" w:asciiTheme="minorEastAsia" w:hAnsiTheme="minorEastAsia" w:eastAsiaTheme="minorEastAsia"/>
                <w:b/>
                <w:bCs/>
                <w:color w:val="auto"/>
                <w:sz w:val="21"/>
                <w:szCs w:val="21"/>
                <w:lang w:val="en-US" w:eastAsia="zh-CN"/>
              </w:rPr>
              <w:t>1</w:t>
            </w:r>
            <w:r>
              <w:rPr>
                <w:rFonts w:hint="eastAsia" w:asciiTheme="minorEastAsia" w:hAnsiTheme="minorEastAsia" w:eastAsiaTheme="minorEastAsia"/>
                <w:b/>
                <w:bCs/>
                <w:color w:val="auto"/>
                <w:sz w:val="21"/>
                <w:szCs w:val="21"/>
                <w:lang w:val="en-GB" w:eastAsia="zh-CN"/>
              </w:rPr>
              <w:t>）中标人提供中华人民共和国关境内货物：付款方式电汇（T/T），按以下约定比例支付：</w:t>
            </w:r>
          </w:p>
          <w:p w14:paraId="1F4128F8">
            <w:pPr>
              <w:spacing w:line="360" w:lineRule="auto"/>
              <w:rPr>
                <w:rFonts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GB"/>
              </w:rPr>
              <w:t>1）预付款：</w:t>
            </w:r>
            <w:r>
              <w:rPr>
                <w:rFonts w:hint="eastAsia" w:asciiTheme="minorEastAsia" w:hAnsiTheme="minorEastAsia" w:eastAsiaTheme="minorEastAsia"/>
                <w:color w:val="auto"/>
                <w:sz w:val="21"/>
                <w:szCs w:val="21"/>
                <w:lang w:val="en-US" w:eastAsia="zh-CN"/>
              </w:rPr>
              <w:t>合同</w:t>
            </w:r>
            <w:r>
              <w:rPr>
                <w:rFonts w:hint="eastAsia" w:asciiTheme="minorEastAsia" w:hAnsiTheme="minorEastAsia" w:eastAsiaTheme="minorEastAsia"/>
                <w:color w:val="auto"/>
                <w:sz w:val="21"/>
                <w:szCs w:val="21"/>
                <w:lang w:val="en-GB"/>
              </w:rPr>
              <w:t>签订</w:t>
            </w:r>
            <w:r>
              <w:rPr>
                <w:rFonts w:hint="eastAsia" w:asciiTheme="minorEastAsia" w:hAnsiTheme="minorEastAsia" w:eastAsiaTheme="minorEastAsia"/>
                <w:color w:val="auto"/>
                <w:sz w:val="21"/>
                <w:szCs w:val="21"/>
                <w:lang w:val="en-US" w:eastAsia="zh-CN"/>
              </w:rPr>
              <w:t>生效</w:t>
            </w:r>
            <w:r>
              <w:rPr>
                <w:rFonts w:hint="eastAsia" w:asciiTheme="minorEastAsia" w:hAnsiTheme="minorEastAsia" w:eastAsiaTheme="minorEastAsia"/>
                <w:color w:val="auto"/>
                <w:sz w:val="21"/>
                <w:szCs w:val="21"/>
                <w:lang w:val="en-GB"/>
              </w:rPr>
              <w:t>后，招标人向中标人支付合同总价的30%。</w:t>
            </w:r>
          </w:p>
          <w:p w14:paraId="1E038ED6">
            <w:pPr>
              <w:spacing w:line="360" w:lineRule="auto"/>
              <w:ind w:left="315" w:hanging="315" w:hangingChars="150"/>
              <w:rPr>
                <w:rFonts w:hint="eastAsia"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GB"/>
              </w:rPr>
              <w:t>2）验收款：货物安装调试结束，技术验收合格并交付使用后，自招标人技术验收合格之日起60日内，中标人凭招标人签订的技术验收单（即《季华实验室验收报告》和《开箱验收单》），招标人向中标人支付合同总价的70%。</w:t>
            </w:r>
          </w:p>
          <w:p w14:paraId="2C50A3C4">
            <w:pPr>
              <w:spacing w:line="360" w:lineRule="auto"/>
              <w:ind w:left="315" w:hanging="315" w:hangingChars="150"/>
              <w:rPr>
                <w:rFonts w:hint="default"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3</w:t>
            </w:r>
            <w:r>
              <w:rPr>
                <w:rFonts w:hint="eastAsia" w:asciiTheme="minorEastAsia" w:hAnsiTheme="minorEastAsia" w:eastAsiaTheme="minorEastAsia"/>
                <w:color w:val="auto"/>
                <w:sz w:val="21"/>
                <w:szCs w:val="21"/>
                <w:lang w:val="en-GB"/>
              </w:rPr>
              <w:t>）</w:t>
            </w:r>
            <w:r>
              <w:rPr>
                <w:rFonts w:hint="eastAsia" w:asciiTheme="minorEastAsia" w:hAnsiTheme="minorEastAsia" w:eastAsiaTheme="minorEastAsia"/>
                <w:color w:val="auto"/>
                <w:sz w:val="21"/>
                <w:szCs w:val="21"/>
                <w:lang w:val="en-GB" w:eastAsia="zh-CN"/>
              </w:rPr>
              <w:t>中标人申请验收款项前需开具全额的增值税专用发票，且发票内容须与合同标的、金额、开票信息完全一致，发票不合规或与合同不符的，招标人有权拒绝付款。</w:t>
            </w:r>
          </w:p>
          <w:p w14:paraId="6FE32E66">
            <w:pPr>
              <w:spacing w:line="360" w:lineRule="auto"/>
              <w:rPr>
                <w:rFonts w:hint="eastAsia" w:ascii="宋体" w:hAnsi="宋体"/>
                <w:b/>
                <w:bCs/>
                <w:color w:val="auto"/>
                <w:sz w:val="21"/>
                <w:szCs w:val="21"/>
                <w:lang w:val="en-US" w:eastAsia="zh-CN"/>
              </w:rPr>
            </w:pPr>
            <w:r>
              <w:rPr>
                <w:rFonts w:hint="eastAsia" w:asciiTheme="minorEastAsia" w:hAnsiTheme="minorEastAsia" w:eastAsiaTheme="minorEastAsia"/>
                <w:b/>
                <w:bCs/>
                <w:color w:val="auto"/>
                <w:sz w:val="21"/>
                <w:szCs w:val="21"/>
                <w:lang w:val="en-GB" w:eastAsia="zh-CN"/>
              </w:rPr>
              <w:t>（</w:t>
            </w:r>
            <w:r>
              <w:rPr>
                <w:rFonts w:hint="eastAsia" w:asciiTheme="minorEastAsia" w:hAnsiTheme="minorEastAsia" w:eastAsiaTheme="minorEastAsia"/>
                <w:b/>
                <w:bCs/>
                <w:color w:val="auto"/>
                <w:sz w:val="21"/>
                <w:szCs w:val="21"/>
                <w:lang w:val="en-US" w:eastAsia="zh-CN"/>
              </w:rPr>
              <w:t>2</w:t>
            </w:r>
            <w:r>
              <w:rPr>
                <w:rFonts w:hint="eastAsia" w:asciiTheme="minorEastAsia" w:hAnsiTheme="minorEastAsia" w:eastAsiaTheme="minorEastAsia"/>
                <w:b/>
                <w:bCs/>
                <w:color w:val="auto"/>
                <w:sz w:val="21"/>
                <w:szCs w:val="21"/>
                <w:lang w:val="en-GB" w:eastAsia="zh-CN"/>
              </w:rPr>
              <w:t>）</w:t>
            </w:r>
            <w:r>
              <w:rPr>
                <w:rFonts w:hint="eastAsia" w:ascii="宋体" w:hAnsi="宋体"/>
                <w:b/>
                <w:bCs/>
                <w:color w:val="auto"/>
                <w:sz w:val="21"/>
                <w:szCs w:val="21"/>
                <w:lang w:val="en-US" w:eastAsia="zh-CN"/>
              </w:rPr>
              <w:t>中标人提供中华人民共和国关境外货物：付款方式信用证（L/C），合同签订后，招标人委托外贸代理公司开出合同金额100%即期不可撤销不可转让信用证（L/C），按以下方式议付：</w:t>
            </w:r>
          </w:p>
          <w:p w14:paraId="1B9E12E6">
            <w:pPr>
              <w:spacing w:line="360" w:lineRule="auto"/>
              <w:rPr>
                <w:rFonts w:hint="eastAsia" w:ascii="宋体" w:hAnsi="宋体"/>
                <w:color w:val="auto"/>
                <w:sz w:val="21"/>
                <w:szCs w:val="21"/>
                <w:lang w:val="en-US" w:eastAsia="zh-CN"/>
              </w:rPr>
            </w:pPr>
            <w:r>
              <w:rPr>
                <w:rFonts w:hint="eastAsia" w:ascii="宋体" w:hAnsi="宋体"/>
                <w:color w:val="auto"/>
                <w:sz w:val="21"/>
                <w:szCs w:val="21"/>
                <w:lang w:val="en-US" w:eastAsia="zh-CN"/>
              </w:rPr>
              <w:t>1）发货款：设备启运后，凭发运单据议付合同金额90%货款。</w:t>
            </w:r>
          </w:p>
          <w:p w14:paraId="6AB22641">
            <w:pPr>
              <w:spacing w:line="360" w:lineRule="auto"/>
              <w:ind w:left="210" w:hanging="210" w:hangingChars="100"/>
              <w:rPr>
                <w:rFonts w:hint="eastAsia" w:ascii="宋体" w:hAnsi="宋体"/>
                <w:color w:val="auto"/>
                <w:sz w:val="21"/>
                <w:szCs w:val="21"/>
                <w:lang w:val="en-US" w:eastAsia="zh-CN"/>
              </w:rPr>
            </w:pPr>
            <w:r>
              <w:rPr>
                <w:rFonts w:hint="eastAsia" w:ascii="宋体" w:hAnsi="宋体"/>
                <w:color w:val="auto"/>
                <w:sz w:val="21"/>
                <w:szCs w:val="21"/>
                <w:lang w:val="en-US" w:eastAsia="zh-CN"/>
              </w:rPr>
              <w:t>2）验收款：货物安装调试结束，技术验收通过，双方签订技术验收单并加盖公章，凭双方签署盖章的技术验收单和中标人提交合同金额5%的货物验收保函议付合同金额10%货款。货物验收保函有效期至技术验收合格之日起满1年。</w:t>
            </w:r>
          </w:p>
          <w:p w14:paraId="009017D3">
            <w:pPr>
              <w:tabs>
                <w:tab w:val="left" w:pos="540"/>
              </w:tabs>
              <w:spacing w:line="360" w:lineRule="auto"/>
              <w:ind w:left="210" w:hanging="210" w:hangingChars="100"/>
              <w:rPr>
                <w:rFonts w:hint="eastAsia" w:ascii="宋体" w:hAnsi="宋体"/>
                <w:color w:val="auto"/>
                <w:sz w:val="21"/>
                <w:szCs w:val="21"/>
                <w:lang w:val="en-GB"/>
              </w:rPr>
            </w:pPr>
            <w:r>
              <w:rPr>
                <w:rFonts w:hint="eastAsia" w:ascii="宋体" w:hAnsi="宋体"/>
                <w:color w:val="auto"/>
                <w:sz w:val="21"/>
                <w:szCs w:val="21"/>
                <w:lang w:val="en-US" w:eastAsia="zh-CN"/>
              </w:rPr>
              <w:t>2</w:t>
            </w:r>
            <w:r>
              <w:rPr>
                <w:rFonts w:hint="eastAsia" w:ascii="宋体" w:hAnsi="宋体"/>
                <w:color w:val="auto"/>
                <w:sz w:val="21"/>
                <w:szCs w:val="21"/>
                <w:lang w:val="en-GB"/>
              </w:rPr>
              <w:t>.对于满足合同支付条件的，招标人原则上在收到发票后10个工作日内按照采购合同约定完成资金支付。</w:t>
            </w:r>
          </w:p>
          <w:p w14:paraId="4101E8F4">
            <w:pPr>
              <w:tabs>
                <w:tab w:val="left" w:pos="540"/>
              </w:tabs>
              <w:spacing w:line="360" w:lineRule="auto"/>
              <w:ind w:left="210" w:leftChars="0" w:hanging="210" w:hangingChars="100"/>
              <w:rPr>
                <w:rFonts w:asciiTheme="minorEastAsia" w:hAnsiTheme="minorEastAsia" w:eastAsiaTheme="minorEastAsia"/>
                <w:color w:val="auto"/>
                <w:sz w:val="21"/>
                <w:szCs w:val="21"/>
                <w:lang w:val="en-GB"/>
              </w:rPr>
            </w:pPr>
            <w:r>
              <w:rPr>
                <w:rFonts w:hint="eastAsia" w:ascii="宋体" w:hAnsi="宋体"/>
                <w:color w:val="auto"/>
                <w:sz w:val="21"/>
                <w:szCs w:val="21"/>
                <w:lang w:val="en-US" w:eastAsia="zh-CN"/>
              </w:rPr>
              <w:t>3</w:t>
            </w:r>
            <w:r>
              <w:rPr>
                <w:rFonts w:hint="eastAsia" w:ascii="宋体" w:hAnsi="宋体"/>
                <w:color w:val="auto"/>
                <w:sz w:val="21"/>
                <w:szCs w:val="21"/>
                <w:lang w:val="en-GB"/>
              </w:rPr>
              <w:t>.付款期间如因特殊情况需调整，由双方协商处理。</w:t>
            </w:r>
          </w:p>
        </w:tc>
      </w:tr>
      <w:tr w14:paraId="66E56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673" w:type="dxa"/>
            <w:vAlign w:val="center"/>
          </w:tcPr>
          <w:p w14:paraId="190EC4AD">
            <w:pPr>
              <w:tabs>
                <w:tab w:val="left" w:pos="180"/>
              </w:tabs>
              <w:spacing w:line="360" w:lineRule="auto"/>
              <w:jc w:val="center"/>
              <w:rPr>
                <w:rFonts w:hint="default"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7</w:t>
            </w:r>
          </w:p>
        </w:tc>
        <w:tc>
          <w:tcPr>
            <w:tcW w:w="1623" w:type="dxa"/>
            <w:vAlign w:val="center"/>
          </w:tcPr>
          <w:p w14:paraId="3FBF6064">
            <w:pPr>
              <w:spacing w:line="360" w:lineRule="auto"/>
              <w:ind w:right="-92" w:rightChars="-44"/>
              <w:jc w:val="center"/>
              <w:rPr>
                <w:rFonts w:hint="eastAsia" w:cs="Calibri" w:asciiTheme="minorEastAsia" w:hAnsiTheme="minorEastAsia" w:eastAsiaTheme="minorEastAsia"/>
                <w:color w:val="auto"/>
                <w:kern w:val="2"/>
                <w:sz w:val="21"/>
                <w:szCs w:val="21"/>
                <w:lang w:val="en-GB" w:eastAsia="zh-CN" w:bidi="ar-SA"/>
              </w:rPr>
            </w:pPr>
            <w:r>
              <w:rPr>
                <w:rFonts w:hint="eastAsia" w:asciiTheme="minorEastAsia" w:hAnsiTheme="minorEastAsia" w:eastAsiaTheme="minorEastAsia"/>
                <w:color w:val="auto"/>
                <w:sz w:val="21"/>
                <w:szCs w:val="21"/>
                <w:lang w:val="en-GB"/>
              </w:rPr>
              <w:t>货物质量要求</w:t>
            </w:r>
          </w:p>
        </w:tc>
        <w:tc>
          <w:tcPr>
            <w:tcW w:w="7241" w:type="dxa"/>
            <w:vAlign w:val="center"/>
          </w:tcPr>
          <w:p w14:paraId="46F59ECC">
            <w:pPr>
              <w:tabs>
                <w:tab w:val="left" w:pos="540"/>
              </w:tabs>
              <w:spacing w:line="360" w:lineRule="auto"/>
              <w:ind w:left="210" w:hanging="210" w:hangingChars="100"/>
              <w:rPr>
                <w:rFonts w:hint="eastAsia" w:ascii="宋体" w:hAnsi="宋体"/>
                <w:color w:val="auto"/>
                <w:sz w:val="21"/>
                <w:szCs w:val="21"/>
                <w:lang w:val="en-US" w:eastAsia="zh-CN"/>
              </w:rPr>
            </w:pPr>
            <w:r>
              <w:rPr>
                <w:rFonts w:hint="eastAsia" w:ascii="宋体" w:hAnsi="宋体"/>
                <w:color w:val="auto"/>
                <w:sz w:val="21"/>
                <w:szCs w:val="21"/>
                <w:lang w:val="en-US" w:eastAsia="zh-CN"/>
              </w:rPr>
              <w:t>1.</w:t>
            </w:r>
            <w:r>
              <w:rPr>
                <w:rFonts w:hint="eastAsia" w:asciiTheme="minorEastAsia" w:hAnsiTheme="minorEastAsia" w:eastAsiaTheme="minorEastAsia"/>
                <w:color w:val="auto"/>
                <w:sz w:val="21"/>
                <w:szCs w:val="21"/>
                <w:lang w:val="en-GB"/>
              </w:rPr>
              <w:t>中标人交付的货物之质量、技术、环保、安全、卫生等标准必须符合中华人民共和国国家标准，如约定的标准高于国家标准的，则按约定的标准执行。在既无约定的标准，亦无国家标准时，则按行业标准执行；无行业标准的，按商业惯例</w:t>
            </w:r>
            <w:r>
              <w:rPr>
                <w:rFonts w:hint="eastAsia" w:ascii="宋体" w:hAnsi="宋体"/>
                <w:color w:val="auto"/>
                <w:sz w:val="21"/>
                <w:szCs w:val="21"/>
                <w:lang w:val="en-US" w:eastAsia="zh-CN"/>
              </w:rPr>
              <w:t>。</w:t>
            </w:r>
          </w:p>
          <w:p w14:paraId="09148E7B">
            <w:pPr>
              <w:tabs>
                <w:tab w:val="left" w:pos="540"/>
              </w:tabs>
              <w:spacing w:line="360" w:lineRule="auto"/>
              <w:ind w:left="210" w:hanging="210" w:hangingChars="100"/>
              <w:rPr>
                <w:rFonts w:hint="eastAsia" w:ascii="宋体" w:hAnsi="宋体"/>
                <w:color w:val="auto"/>
                <w:sz w:val="21"/>
                <w:szCs w:val="21"/>
                <w:lang w:val="en-US" w:eastAsia="zh-CN"/>
              </w:rPr>
            </w:pPr>
            <w:r>
              <w:rPr>
                <w:rFonts w:hint="eastAsia" w:ascii="宋体" w:hAnsi="宋体"/>
                <w:color w:val="auto"/>
                <w:sz w:val="21"/>
                <w:szCs w:val="21"/>
                <w:lang w:val="en-US" w:eastAsia="zh-CN"/>
              </w:rPr>
              <w:t>2.上款所说“约定的标准”是指：</w:t>
            </w:r>
          </w:p>
          <w:p w14:paraId="504C6233">
            <w:pPr>
              <w:tabs>
                <w:tab w:val="left" w:pos="540"/>
              </w:tabs>
              <w:spacing w:line="360" w:lineRule="auto"/>
              <w:ind w:left="210" w:hanging="210" w:hangingChars="100"/>
              <w:rPr>
                <w:rFonts w:hint="eastAsia" w:ascii="宋体" w:hAnsi="宋体"/>
                <w:color w:val="auto"/>
                <w:sz w:val="21"/>
                <w:szCs w:val="21"/>
                <w:lang w:val="en-US" w:eastAsia="zh-CN"/>
              </w:rPr>
            </w:pPr>
            <w:r>
              <w:rPr>
                <w:rFonts w:hint="eastAsia" w:ascii="宋体" w:hAnsi="宋体"/>
                <w:color w:val="auto"/>
                <w:sz w:val="21"/>
                <w:szCs w:val="21"/>
                <w:lang w:val="en-US" w:eastAsia="zh-CN"/>
              </w:rPr>
              <w:t>(1)《招标文件》中的“采购需求”所设定的质量标准和</w:t>
            </w:r>
            <w:r>
              <w:rPr>
                <w:rFonts w:hint="eastAsia" w:asciiTheme="minorEastAsia" w:hAnsiTheme="minorEastAsia" w:eastAsiaTheme="minorEastAsia"/>
                <w:color w:val="auto"/>
                <w:sz w:val="21"/>
                <w:szCs w:val="21"/>
                <w:lang w:val="en-GB"/>
              </w:rPr>
              <w:t>中标人</w:t>
            </w:r>
            <w:r>
              <w:rPr>
                <w:rFonts w:hint="eastAsia" w:ascii="宋体" w:hAnsi="宋体"/>
                <w:color w:val="auto"/>
                <w:sz w:val="21"/>
                <w:szCs w:val="21"/>
                <w:lang w:val="en-US" w:eastAsia="zh-CN"/>
              </w:rPr>
              <w:t>在《投标文件》中对此做出的陈述或“响应”。凡</w:t>
            </w:r>
            <w:r>
              <w:rPr>
                <w:rFonts w:hint="eastAsia" w:asciiTheme="minorEastAsia" w:hAnsiTheme="minorEastAsia" w:eastAsiaTheme="minorEastAsia"/>
                <w:color w:val="auto"/>
                <w:sz w:val="21"/>
                <w:szCs w:val="21"/>
                <w:lang w:val="en-GB"/>
              </w:rPr>
              <w:t>中标人</w:t>
            </w:r>
            <w:r>
              <w:rPr>
                <w:rFonts w:hint="eastAsia" w:ascii="宋体" w:hAnsi="宋体"/>
                <w:color w:val="auto"/>
                <w:sz w:val="21"/>
                <w:szCs w:val="21"/>
                <w:lang w:val="en-US" w:eastAsia="zh-CN"/>
              </w:rPr>
              <w:t>单方面在《投标文件》中做出的优于《招标文件》所设定的质量标准、技术指标或参数、性能、环保或节能标准，附件、技术或信息服务与支持、售后服务以及其他任何优厚条件之陈述或意思表示，一旦与《招标文件》设定的标准不一致，以招标文件要求为基准，当投标文件响应优于招标文件时，按投标文件承诺执行。</w:t>
            </w:r>
          </w:p>
          <w:p w14:paraId="3F6F88BA">
            <w:pPr>
              <w:tabs>
                <w:tab w:val="left" w:pos="540"/>
              </w:tabs>
              <w:spacing w:line="360" w:lineRule="auto"/>
              <w:ind w:left="210" w:hanging="210" w:hangingChars="100"/>
              <w:rPr>
                <w:rFonts w:hint="eastAsia" w:ascii="宋体" w:hAnsi="宋体"/>
                <w:color w:val="auto"/>
                <w:sz w:val="21"/>
                <w:szCs w:val="21"/>
                <w:lang w:val="en-US" w:eastAsia="zh-CN"/>
              </w:rPr>
            </w:pPr>
            <w:r>
              <w:rPr>
                <w:rFonts w:hint="eastAsia" w:ascii="宋体" w:hAnsi="宋体"/>
                <w:color w:val="auto"/>
                <w:sz w:val="21"/>
                <w:szCs w:val="21"/>
                <w:lang w:val="en-US" w:eastAsia="zh-CN"/>
              </w:rPr>
              <w:t>(2)在招投标过程中属于</w:t>
            </w:r>
            <w:r>
              <w:rPr>
                <w:rFonts w:hint="eastAsia" w:asciiTheme="minorEastAsia" w:hAnsiTheme="minorEastAsia" w:eastAsiaTheme="minorEastAsia"/>
                <w:color w:val="auto"/>
                <w:sz w:val="21"/>
                <w:szCs w:val="21"/>
                <w:lang w:val="en-GB"/>
              </w:rPr>
              <w:t>中标人</w:t>
            </w:r>
            <w:r>
              <w:rPr>
                <w:rFonts w:hint="eastAsia" w:ascii="宋体" w:hAnsi="宋体"/>
                <w:color w:val="auto"/>
                <w:sz w:val="21"/>
                <w:szCs w:val="21"/>
                <w:lang w:val="en-US" w:eastAsia="zh-CN"/>
              </w:rPr>
              <w:t>送交了经招标人确认的货物样板的（双方共同签署《货物样板确认书》并封存成品样板），此样板即为最低验收标准，实际交付的货物均应有产品质量检验合格标志。</w:t>
            </w:r>
          </w:p>
          <w:p w14:paraId="59272EEE">
            <w:pPr>
              <w:tabs>
                <w:tab w:val="left" w:pos="540"/>
              </w:tabs>
              <w:spacing w:line="360" w:lineRule="auto"/>
              <w:ind w:left="210" w:leftChars="0" w:hanging="210" w:hangingChars="100"/>
              <w:rPr>
                <w:rFonts w:hint="eastAsia" w:ascii="宋体" w:hAnsi="宋体"/>
                <w:color w:val="auto"/>
                <w:sz w:val="21"/>
                <w:szCs w:val="21"/>
                <w:lang w:val="en-US" w:eastAsia="zh-CN"/>
              </w:rPr>
            </w:pPr>
            <w:r>
              <w:rPr>
                <w:rFonts w:hint="eastAsia" w:ascii="宋体" w:hAnsi="宋体"/>
                <w:color w:val="auto"/>
                <w:sz w:val="21"/>
                <w:szCs w:val="21"/>
                <w:lang w:val="en-US" w:eastAsia="zh-CN"/>
              </w:rPr>
              <w:t>3.</w:t>
            </w:r>
            <w:r>
              <w:rPr>
                <w:rFonts w:hint="eastAsia" w:asciiTheme="minorEastAsia" w:hAnsiTheme="minorEastAsia" w:eastAsiaTheme="minorEastAsia"/>
                <w:color w:val="auto"/>
                <w:sz w:val="21"/>
                <w:szCs w:val="21"/>
                <w:lang w:val="en-GB"/>
              </w:rPr>
              <w:t>中标人</w:t>
            </w:r>
            <w:r>
              <w:rPr>
                <w:rFonts w:hint="eastAsia" w:ascii="宋体" w:hAnsi="宋体"/>
                <w:color w:val="auto"/>
                <w:sz w:val="21"/>
                <w:szCs w:val="21"/>
                <w:lang w:val="en-US" w:eastAsia="zh-CN"/>
              </w:rPr>
              <w:t>提供的货物必须是原制造商制造的全新产品，整机无污染，表面无划伤、无碰撞，无任何缺陷隐患、配件齐全，完全符合国家的有关质量标准，符合招投标文件的要求，并附有产品质量检验合格证书。</w:t>
            </w:r>
          </w:p>
          <w:p w14:paraId="576D9DDB">
            <w:pPr>
              <w:tabs>
                <w:tab w:val="left" w:pos="540"/>
              </w:tabs>
              <w:spacing w:line="360" w:lineRule="auto"/>
              <w:ind w:left="210" w:leftChars="0" w:hanging="210" w:hangingChars="100"/>
              <w:rPr>
                <w:rFonts w:hint="eastAsia" w:ascii="宋体" w:hAnsi="宋体"/>
                <w:color w:val="auto"/>
                <w:sz w:val="21"/>
                <w:szCs w:val="21"/>
                <w:lang w:val="en-US" w:eastAsia="zh-CN"/>
              </w:rPr>
            </w:pPr>
            <w:r>
              <w:rPr>
                <w:rFonts w:hint="eastAsia" w:ascii="宋体" w:hAnsi="宋体"/>
                <w:color w:val="auto"/>
                <w:sz w:val="21"/>
                <w:szCs w:val="21"/>
                <w:lang w:val="en-US" w:eastAsia="zh-CN"/>
              </w:rPr>
              <w:t>4.货物为原厂商未启封全新包装产品，具备出厂合格证，序列号、包装箱号和出厂批号，并可追索查阅。</w:t>
            </w:r>
            <w:r>
              <w:rPr>
                <w:rFonts w:hint="eastAsia" w:asciiTheme="minorEastAsia" w:hAnsiTheme="minorEastAsia" w:eastAsiaTheme="minorEastAsia"/>
                <w:color w:val="auto"/>
                <w:sz w:val="21"/>
                <w:szCs w:val="21"/>
                <w:lang w:val="en-GB"/>
              </w:rPr>
              <w:t>中标人</w:t>
            </w:r>
            <w:r>
              <w:rPr>
                <w:rFonts w:hint="eastAsia" w:ascii="宋体" w:hAnsi="宋体"/>
                <w:color w:val="auto"/>
                <w:sz w:val="21"/>
                <w:szCs w:val="21"/>
                <w:lang w:val="en-US" w:eastAsia="zh-CN"/>
              </w:rPr>
              <w:t>应将关键主机设备的用户手册、保修手册、有关单证资料及配备件、随机工具等单独包装交付给招标人，使用操作及安全须知等重要资料应附有中文说明。</w:t>
            </w:r>
          </w:p>
          <w:p w14:paraId="7DB3F6A1">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ascii="宋体" w:hAnsi="宋体"/>
                <w:color w:val="auto"/>
                <w:sz w:val="21"/>
                <w:szCs w:val="21"/>
                <w:lang w:val="en-US" w:eastAsia="zh-CN"/>
              </w:rPr>
              <w:t>5.若</w:t>
            </w:r>
            <w:r>
              <w:rPr>
                <w:rFonts w:hint="eastAsia" w:asciiTheme="minorEastAsia" w:hAnsiTheme="minorEastAsia" w:eastAsiaTheme="minorEastAsia"/>
                <w:color w:val="auto"/>
                <w:sz w:val="21"/>
                <w:szCs w:val="21"/>
                <w:lang w:val="en-GB"/>
              </w:rPr>
              <w:t>中标人</w:t>
            </w:r>
            <w:r>
              <w:rPr>
                <w:rFonts w:hint="eastAsia" w:ascii="宋体" w:hAnsi="宋体"/>
                <w:color w:val="auto"/>
                <w:sz w:val="21"/>
                <w:szCs w:val="21"/>
                <w:lang w:val="en-US" w:eastAsia="zh-CN"/>
              </w:rPr>
              <w:t>提供的随机文件不完整或不符合要求，招标人有权要求</w:t>
            </w:r>
            <w:r>
              <w:rPr>
                <w:rFonts w:hint="eastAsia" w:asciiTheme="minorEastAsia" w:hAnsiTheme="minorEastAsia" w:eastAsiaTheme="minorEastAsia"/>
                <w:color w:val="auto"/>
                <w:sz w:val="21"/>
                <w:szCs w:val="21"/>
                <w:lang w:val="en-GB"/>
              </w:rPr>
              <w:t>中标人</w:t>
            </w:r>
            <w:r>
              <w:rPr>
                <w:rFonts w:hint="eastAsia" w:ascii="宋体" w:hAnsi="宋体"/>
                <w:color w:val="auto"/>
                <w:sz w:val="21"/>
                <w:szCs w:val="21"/>
                <w:lang w:val="en-US" w:eastAsia="zh-CN"/>
              </w:rPr>
              <w:t>在规定时间内补齐或重新提供符合要求的文件。若因此导致设备无法正常使用或验收延迟，</w:t>
            </w:r>
            <w:r>
              <w:rPr>
                <w:rFonts w:hint="eastAsia" w:asciiTheme="minorEastAsia" w:hAnsiTheme="minorEastAsia" w:eastAsiaTheme="minorEastAsia"/>
                <w:color w:val="auto"/>
                <w:sz w:val="21"/>
                <w:szCs w:val="21"/>
                <w:lang w:val="en-GB"/>
              </w:rPr>
              <w:t>中标人</w:t>
            </w:r>
            <w:r>
              <w:rPr>
                <w:rFonts w:hint="eastAsia" w:ascii="宋体" w:hAnsi="宋体"/>
                <w:color w:val="auto"/>
                <w:sz w:val="21"/>
                <w:szCs w:val="21"/>
                <w:lang w:val="en-US" w:eastAsia="zh-CN"/>
              </w:rPr>
              <w:t>应承担相应责任，并赔偿招标人因此遭受的全部损失。</w:t>
            </w:r>
          </w:p>
        </w:tc>
      </w:tr>
      <w:tr w14:paraId="2380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3" w:type="dxa"/>
            <w:vAlign w:val="center"/>
          </w:tcPr>
          <w:p w14:paraId="5A3190B4">
            <w:pPr>
              <w:tabs>
                <w:tab w:val="left" w:pos="180"/>
              </w:tabs>
              <w:spacing w:line="360" w:lineRule="auto"/>
              <w:jc w:val="center"/>
              <w:rPr>
                <w:rFonts w:hint="eastAsia" w:asciiTheme="minorEastAsia" w:hAnsiTheme="minorEastAsia" w:eastAsiaTheme="minorEastAsia"/>
                <w:color w:val="auto"/>
                <w:sz w:val="21"/>
                <w:szCs w:val="21"/>
                <w:lang w:eastAsia="zh-CN"/>
              </w:rPr>
            </w:pPr>
            <w:r>
              <w:rPr>
                <w:rFonts w:hint="eastAsia" w:asciiTheme="minorEastAsia" w:hAnsiTheme="minorEastAsia" w:eastAsiaTheme="minorEastAsia"/>
                <w:color w:val="auto"/>
                <w:sz w:val="21"/>
                <w:szCs w:val="21"/>
                <w:lang w:val="en-US" w:eastAsia="zh-CN"/>
              </w:rPr>
              <w:t>8</w:t>
            </w:r>
          </w:p>
        </w:tc>
        <w:tc>
          <w:tcPr>
            <w:tcW w:w="1623" w:type="dxa"/>
            <w:vAlign w:val="center"/>
          </w:tcPr>
          <w:p w14:paraId="1CEDD61D">
            <w:pPr>
              <w:spacing w:line="360" w:lineRule="auto"/>
              <w:ind w:right="-92" w:rightChars="-44"/>
              <w:jc w:val="center"/>
              <w:rPr>
                <w:rFonts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GB"/>
              </w:rPr>
              <w:t>包装运输及货物搬运</w:t>
            </w:r>
          </w:p>
        </w:tc>
        <w:tc>
          <w:tcPr>
            <w:tcW w:w="7241" w:type="dxa"/>
            <w:vAlign w:val="center"/>
          </w:tcPr>
          <w:p w14:paraId="4CF68194">
            <w:pPr>
              <w:tabs>
                <w:tab w:val="left" w:pos="540"/>
              </w:tabs>
              <w:spacing w:line="360" w:lineRule="auto"/>
              <w:ind w:left="210" w:hanging="210" w:hangingChars="100"/>
              <w:rPr>
                <w:rFonts w:hint="eastAsia"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GB"/>
              </w:rPr>
              <w:t>1.设备的包装必须是制造商原厂包装，包装箱应坚固、防潮、防锈、防震、防粗暴装卸，适于海、陆运输和整体吊装，保证产品运抵使用现场后设备结构、功能完好无损。进口产品，则木质包装需经熏蒸处理，并标注IPPC标识。</w:t>
            </w:r>
          </w:p>
          <w:p w14:paraId="420E656F">
            <w:pPr>
              <w:tabs>
                <w:tab w:val="left" w:pos="540"/>
              </w:tabs>
              <w:spacing w:line="360" w:lineRule="auto"/>
              <w:ind w:left="210" w:hanging="210" w:hangingChars="100"/>
              <w:rPr>
                <w:rFonts w:hint="eastAsia"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GB"/>
              </w:rPr>
              <w:t xml:space="preserve">2.进口产品，包装材料必须符合中国有关进出口检验检疫的规定。凡由于包装不良造成的损失和由此产生的费用均由中标人承担。 </w:t>
            </w:r>
          </w:p>
          <w:p w14:paraId="3AB4ABF5">
            <w:pPr>
              <w:tabs>
                <w:tab w:val="left" w:pos="540"/>
              </w:tabs>
              <w:spacing w:line="360" w:lineRule="auto"/>
              <w:ind w:left="210" w:hanging="210" w:hangingChars="100"/>
              <w:rPr>
                <w:rFonts w:hint="eastAsia"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GB"/>
              </w:rPr>
              <w:t>3.由中标人负责组织落实设备搬运工作，包括但不限于拆装、封装、人力上下楼搬运、叉车、起重机等专用机械运输等。</w:t>
            </w:r>
          </w:p>
          <w:p w14:paraId="175D1744">
            <w:pPr>
              <w:tabs>
                <w:tab w:val="left" w:pos="540"/>
              </w:tabs>
              <w:spacing w:line="360" w:lineRule="auto"/>
              <w:ind w:left="210" w:hanging="210" w:hangingChars="100"/>
              <w:rPr>
                <w:rFonts w:hint="eastAsia"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GB"/>
              </w:rPr>
              <w:t>4.搬运期间的工具、材料和人员等费用全部由中标人负责，与招标人无关。</w:t>
            </w:r>
          </w:p>
          <w:p w14:paraId="388EFF8D">
            <w:pPr>
              <w:tabs>
                <w:tab w:val="left" w:pos="540"/>
              </w:tabs>
              <w:spacing w:line="360" w:lineRule="auto"/>
              <w:ind w:left="210" w:hanging="210" w:hangingChars="100"/>
              <w:rPr>
                <w:rFonts w:hint="eastAsia"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GB"/>
              </w:rPr>
              <w:t>5.如搬运过程中出现伤亡、雇佣、工资、财产损毁等费用及责任纠纷由中标人承担，与招标人无关。特殊情况下招标人代为支付的，可以向中标人追偿。</w:t>
            </w:r>
          </w:p>
          <w:p w14:paraId="54C400B7">
            <w:pPr>
              <w:tabs>
                <w:tab w:val="left" w:pos="540"/>
              </w:tabs>
              <w:spacing w:line="360" w:lineRule="auto"/>
              <w:ind w:left="210" w:leftChars="0" w:hanging="210" w:hangingChars="100"/>
              <w:rPr>
                <w:color w:val="auto"/>
                <w:lang w:val="en-GB"/>
              </w:rPr>
            </w:pPr>
            <w:r>
              <w:rPr>
                <w:rFonts w:hint="eastAsia" w:asciiTheme="minorEastAsia" w:hAnsiTheme="minorEastAsia" w:eastAsiaTheme="minorEastAsia"/>
                <w:color w:val="auto"/>
                <w:sz w:val="21"/>
                <w:szCs w:val="21"/>
                <w:lang w:val="en-GB"/>
              </w:rPr>
              <w:t>6.按招标人要求到达招标人指定位置后，于设备安装调试前进行开箱验收。</w:t>
            </w:r>
          </w:p>
        </w:tc>
      </w:tr>
      <w:tr w14:paraId="48FDF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3" w:type="dxa"/>
            <w:vAlign w:val="center"/>
          </w:tcPr>
          <w:p w14:paraId="270DB6A5">
            <w:pPr>
              <w:tabs>
                <w:tab w:val="left" w:pos="180"/>
              </w:tabs>
              <w:spacing w:line="360" w:lineRule="auto"/>
              <w:jc w:val="center"/>
              <w:rPr>
                <w:rFonts w:hint="default"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9</w:t>
            </w:r>
          </w:p>
        </w:tc>
        <w:tc>
          <w:tcPr>
            <w:tcW w:w="1623" w:type="dxa"/>
            <w:vAlign w:val="center"/>
          </w:tcPr>
          <w:p w14:paraId="0A0FF6C1">
            <w:pPr>
              <w:spacing w:line="360" w:lineRule="auto"/>
              <w:ind w:right="-92" w:rightChars="-44"/>
              <w:jc w:val="center"/>
              <w:rPr>
                <w:rFonts w:hint="eastAsia" w:asciiTheme="minorEastAsia" w:hAnsiTheme="minorEastAsia" w:eastAsiaTheme="minorEastAsia"/>
                <w:color w:val="auto"/>
                <w:sz w:val="21"/>
                <w:szCs w:val="21"/>
                <w:lang w:val="en-GB" w:eastAsia="zh-CN"/>
              </w:rPr>
            </w:pPr>
            <w:r>
              <w:rPr>
                <w:rFonts w:hint="eastAsia" w:asciiTheme="minorEastAsia" w:hAnsiTheme="minorEastAsia" w:eastAsiaTheme="minorEastAsia"/>
                <w:color w:val="auto"/>
                <w:sz w:val="21"/>
                <w:szCs w:val="21"/>
                <w:lang w:val="en-US" w:eastAsia="zh-CN"/>
              </w:rPr>
              <w:t>货物</w:t>
            </w:r>
            <w:r>
              <w:rPr>
                <w:rFonts w:hint="eastAsia" w:asciiTheme="minorEastAsia" w:hAnsiTheme="minorEastAsia" w:eastAsiaTheme="minorEastAsia"/>
                <w:color w:val="auto"/>
                <w:sz w:val="21"/>
                <w:szCs w:val="21"/>
                <w:lang w:val="en-GB"/>
              </w:rPr>
              <w:t>接收</w:t>
            </w:r>
          </w:p>
        </w:tc>
        <w:tc>
          <w:tcPr>
            <w:tcW w:w="7241" w:type="dxa"/>
            <w:vAlign w:val="center"/>
          </w:tcPr>
          <w:p w14:paraId="6ACD283C">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1.货物运抵安装现场后，以</w:t>
            </w:r>
            <w:r>
              <w:rPr>
                <w:rFonts w:hint="eastAsia" w:asciiTheme="minorEastAsia" w:hAnsiTheme="minorEastAsia" w:eastAsiaTheme="minorEastAsia"/>
                <w:color w:val="auto"/>
                <w:sz w:val="21"/>
                <w:szCs w:val="21"/>
                <w:lang w:val="en-GB"/>
              </w:rPr>
              <w:t>中标人</w:t>
            </w:r>
            <w:r>
              <w:rPr>
                <w:rFonts w:hint="eastAsia" w:cs="Calibri" w:asciiTheme="minorEastAsia" w:hAnsiTheme="minorEastAsia" w:eastAsiaTheme="minorEastAsia"/>
                <w:color w:val="auto"/>
                <w:kern w:val="2"/>
                <w:sz w:val="21"/>
                <w:szCs w:val="21"/>
                <w:lang w:val="en-US" w:eastAsia="zh-CN" w:bidi="ar-SA"/>
              </w:rPr>
              <w:t>提供的装箱单为依据，在外包装完好的前提下，清点核对包装数量、尺寸和重量等明细信息，如实收货物与装箱单完全相符，招标人签收设备接收单。</w:t>
            </w:r>
          </w:p>
          <w:p w14:paraId="05370B6F">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2.货物接收单仅作为货物到场的凭证，不视为招标人对货物质量、数量、技术指标等的最终认可。如出现差异，招标人出具货物短缺或破损报告，</w:t>
            </w:r>
            <w:r>
              <w:rPr>
                <w:rFonts w:hint="eastAsia" w:asciiTheme="minorEastAsia" w:hAnsiTheme="minorEastAsia" w:eastAsiaTheme="minorEastAsia"/>
                <w:color w:val="auto"/>
                <w:sz w:val="21"/>
                <w:szCs w:val="21"/>
                <w:lang w:val="en-GB"/>
              </w:rPr>
              <w:t>中标人</w:t>
            </w:r>
            <w:r>
              <w:rPr>
                <w:rFonts w:hint="eastAsia" w:cs="Calibri" w:asciiTheme="minorEastAsia" w:hAnsiTheme="minorEastAsia" w:eastAsiaTheme="minorEastAsia"/>
                <w:color w:val="auto"/>
                <w:kern w:val="2"/>
                <w:sz w:val="21"/>
                <w:szCs w:val="21"/>
                <w:lang w:val="en-US" w:eastAsia="zh-CN" w:bidi="ar-SA"/>
              </w:rPr>
              <w:t>负责解决相关索赔事宜，赔偿包括但不限于货物更换、补足费用等所有损失。</w:t>
            </w:r>
          </w:p>
          <w:p w14:paraId="6B7B7524">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3.招标人完成货物接收后，保持原出厂包装存放现场，货物安装前，招标人中标人双方共同在货物现场开箱检验供货明细。</w:t>
            </w:r>
          </w:p>
        </w:tc>
      </w:tr>
      <w:tr w14:paraId="3698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3" w:type="dxa"/>
            <w:vAlign w:val="center"/>
          </w:tcPr>
          <w:p w14:paraId="7A47D727">
            <w:pPr>
              <w:tabs>
                <w:tab w:val="left" w:pos="180"/>
              </w:tabs>
              <w:spacing w:line="360" w:lineRule="auto"/>
              <w:jc w:val="center"/>
              <w:rPr>
                <w:rFonts w:hint="default"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10</w:t>
            </w:r>
          </w:p>
        </w:tc>
        <w:tc>
          <w:tcPr>
            <w:tcW w:w="1623" w:type="dxa"/>
            <w:vAlign w:val="center"/>
          </w:tcPr>
          <w:p w14:paraId="2D1C98B0">
            <w:pPr>
              <w:spacing w:line="360" w:lineRule="auto"/>
              <w:ind w:right="-92" w:rightChars="-44"/>
              <w:jc w:val="center"/>
              <w:rPr>
                <w:rFonts w:hint="eastAsia"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US" w:eastAsia="zh-CN"/>
              </w:rPr>
              <w:t>货物安装</w:t>
            </w:r>
          </w:p>
        </w:tc>
        <w:tc>
          <w:tcPr>
            <w:tcW w:w="7241" w:type="dxa"/>
            <w:vAlign w:val="center"/>
          </w:tcPr>
          <w:p w14:paraId="010ACC5D">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 xml:space="preserve">1.中标人应在投标方案中提供货物安装条件要求，明确符合货物要求的安装场地条件，包括但不限于：场地面积、基础承重、电源、水源、特殊气体、特殊环境要求（防震/电磁屏蔽/洁净度等级/温湿度等）等。 </w:t>
            </w:r>
          </w:p>
          <w:p w14:paraId="5771A077">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2.招标人与中标人在双方签署的技术协议第三条“实验室货物安装条件要求”中明确双方的责任和义务。</w:t>
            </w:r>
          </w:p>
          <w:p w14:paraId="677832AC">
            <w:pPr>
              <w:tabs>
                <w:tab w:val="left" w:pos="540"/>
              </w:tabs>
              <w:spacing w:line="360" w:lineRule="auto"/>
              <w:ind w:left="210" w:leftChars="0" w:hanging="210" w:hangingChars="100"/>
              <w:rPr>
                <w:rFonts w:hint="eastAsia" w:ascii="宋体" w:hAnsi="宋体"/>
                <w:color w:val="auto"/>
                <w:sz w:val="21"/>
                <w:szCs w:val="21"/>
                <w:lang w:val="en-US" w:eastAsia="zh-CN"/>
              </w:rPr>
            </w:pPr>
            <w:r>
              <w:rPr>
                <w:rFonts w:hint="eastAsia" w:ascii="宋体" w:hAnsi="宋体"/>
                <w:color w:val="auto"/>
                <w:sz w:val="21"/>
                <w:szCs w:val="21"/>
                <w:lang w:val="en-US" w:eastAsia="zh-CN"/>
              </w:rPr>
              <w:t>（1）招标人责任：招标人在设备安装前提供符合设备要求的安装场地，包括但不限于场地承重、水源/电源/气源接驳点，以及温湿度等条件；</w:t>
            </w:r>
          </w:p>
          <w:p w14:paraId="2179B107">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ascii="宋体" w:hAnsi="宋体"/>
                <w:color w:val="auto"/>
                <w:sz w:val="21"/>
                <w:szCs w:val="21"/>
                <w:lang w:val="en-US" w:eastAsia="zh-CN"/>
              </w:rPr>
              <w:t>（2）中标人责任：中标人负责设备与水电接驳点的最终连接（包括电缆、水管等辅材安装），完成设备安装调试及操作培训，并提供安装调试全程技术支持，确保符合安全规范。安装期间的安全责任由中标人承担，涉及高空/带电等特种作业的须持有效操作证上岗。安装前中标人提交《安装条件确认书》，《安装条件确认书》中应明确：</w:t>
            </w:r>
            <w:r>
              <w:rPr>
                <w:rFonts w:hint="eastAsia" w:cs="Calibri" w:asciiTheme="minorEastAsia" w:hAnsiTheme="minorEastAsia" w:eastAsiaTheme="minorEastAsia"/>
                <w:color w:val="auto"/>
                <w:kern w:val="2"/>
                <w:sz w:val="21"/>
                <w:szCs w:val="21"/>
                <w:lang w:val="en-US" w:eastAsia="zh-CN" w:bidi="ar-SA"/>
              </w:rPr>
              <w:br w:type="textWrapping"/>
            </w:r>
            <w:r>
              <w:rPr>
                <w:rFonts w:hint="eastAsia" w:cs="Calibri" w:asciiTheme="minorEastAsia" w:hAnsiTheme="minorEastAsia" w:eastAsiaTheme="minorEastAsia"/>
                <w:color w:val="auto"/>
                <w:kern w:val="2"/>
                <w:sz w:val="21"/>
                <w:szCs w:val="21"/>
                <w:lang w:val="en-US" w:eastAsia="zh-CN" w:bidi="ar-SA"/>
              </w:rPr>
              <w:t>a.基础承载、水电气接驳点位置及技术参数（电压、水压等）；</w:t>
            </w:r>
            <w:r>
              <w:rPr>
                <w:rFonts w:hint="eastAsia" w:cs="Calibri" w:asciiTheme="minorEastAsia" w:hAnsiTheme="minorEastAsia" w:eastAsiaTheme="minorEastAsia"/>
                <w:color w:val="auto"/>
                <w:kern w:val="2"/>
                <w:sz w:val="21"/>
                <w:szCs w:val="21"/>
                <w:lang w:val="en-US" w:eastAsia="zh-CN" w:bidi="ar-SA"/>
              </w:rPr>
              <w:br w:type="textWrapping"/>
            </w:r>
            <w:r>
              <w:rPr>
                <w:rFonts w:hint="eastAsia" w:cs="Calibri" w:asciiTheme="minorEastAsia" w:hAnsiTheme="minorEastAsia" w:eastAsiaTheme="minorEastAsia"/>
                <w:color w:val="auto"/>
                <w:kern w:val="2"/>
                <w:sz w:val="21"/>
                <w:szCs w:val="21"/>
                <w:lang w:val="en-US" w:eastAsia="zh-CN" w:bidi="ar-SA"/>
              </w:rPr>
              <w:t>b.特殊环境要求（防震/电磁屏蔽/洁净度等级）；</w:t>
            </w:r>
            <w:r>
              <w:rPr>
                <w:rFonts w:hint="eastAsia" w:cs="Calibri" w:asciiTheme="minorEastAsia" w:hAnsiTheme="minorEastAsia" w:eastAsiaTheme="minorEastAsia"/>
                <w:color w:val="auto"/>
                <w:kern w:val="2"/>
                <w:sz w:val="21"/>
                <w:szCs w:val="21"/>
                <w:lang w:val="en-US" w:eastAsia="zh-CN" w:bidi="ar-SA"/>
              </w:rPr>
              <w:br w:type="textWrapping"/>
            </w:r>
            <w:r>
              <w:rPr>
                <w:rFonts w:hint="eastAsia" w:cs="Calibri" w:asciiTheme="minorEastAsia" w:hAnsiTheme="minorEastAsia" w:eastAsiaTheme="minorEastAsia"/>
                <w:color w:val="auto"/>
                <w:kern w:val="2"/>
                <w:sz w:val="21"/>
                <w:szCs w:val="21"/>
                <w:lang w:val="en-US" w:eastAsia="zh-CN" w:bidi="ar-SA"/>
              </w:rPr>
              <w:t>c.需招标人配合的改造事项及时间节点。</w:t>
            </w:r>
          </w:p>
          <w:p w14:paraId="0D90FA19">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3.安装调试的具体时间由招标人提前3天通知中标人，双方确认《安装条件确认书》中所列条件具备后实施安装。</w:t>
            </w:r>
          </w:p>
        </w:tc>
      </w:tr>
      <w:tr w14:paraId="5177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3" w:type="dxa"/>
            <w:vAlign w:val="center"/>
          </w:tcPr>
          <w:p w14:paraId="6ABBE941">
            <w:pPr>
              <w:tabs>
                <w:tab w:val="left" w:pos="180"/>
              </w:tabs>
              <w:spacing w:line="360" w:lineRule="auto"/>
              <w:jc w:val="center"/>
              <w:rPr>
                <w:rFonts w:hint="default"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11</w:t>
            </w:r>
          </w:p>
        </w:tc>
        <w:tc>
          <w:tcPr>
            <w:tcW w:w="1623" w:type="dxa"/>
            <w:vAlign w:val="center"/>
          </w:tcPr>
          <w:p w14:paraId="44E7C00E">
            <w:pPr>
              <w:spacing w:line="360" w:lineRule="auto"/>
              <w:ind w:right="-92" w:rightChars="-44"/>
              <w:jc w:val="center"/>
              <w:rPr>
                <w:rFonts w:hint="eastAsia" w:cs="Calibri" w:asciiTheme="minorEastAsia" w:hAnsiTheme="minorEastAsia" w:eastAsiaTheme="minorEastAsia"/>
                <w:color w:val="auto"/>
                <w:kern w:val="2"/>
                <w:sz w:val="21"/>
                <w:szCs w:val="21"/>
                <w:lang w:val="en-GB" w:eastAsia="zh-CN" w:bidi="ar-SA"/>
              </w:rPr>
            </w:pPr>
            <w:r>
              <w:rPr>
                <w:rFonts w:hint="eastAsia" w:asciiTheme="minorEastAsia" w:hAnsiTheme="minorEastAsia" w:eastAsiaTheme="minorEastAsia"/>
                <w:color w:val="auto"/>
                <w:sz w:val="21"/>
                <w:szCs w:val="21"/>
                <w:lang w:val="en-US" w:eastAsia="zh-CN"/>
              </w:rPr>
              <w:t>货物</w:t>
            </w:r>
            <w:r>
              <w:rPr>
                <w:rFonts w:hint="eastAsia" w:asciiTheme="minorEastAsia" w:hAnsiTheme="minorEastAsia" w:eastAsiaTheme="minorEastAsia"/>
                <w:color w:val="auto"/>
                <w:sz w:val="21"/>
                <w:szCs w:val="21"/>
                <w:lang w:val="en-GB"/>
              </w:rPr>
              <w:t>验收</w:t>
            </w:r>
          </w:p>
        </w:tc>
        <w:tc>
          <w:tcPr>
            <w:tcW w:w="7241" w:type="dxa"/>
            <w:vAlign w:val="center"/>
          </w:tcPr>
          <w:p w14:paraId="43C0B172">
            <w:pPr>
              <w:tabs>
                <w:tab w:val="left" w:pos="540"/>
              </w:tabs>
              <w:spacing w:line="360" w:lineRule="auto"/>
              <w:ind w:left="210" w:hanging="210" w:hangingChars="100"/>
              <w:rPr>
                <w:rFonts w:hint="eastAsia"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rPr>
              <w:t>1.</w:t>
            </w:r>
            <w:r>
              <w:rPr>
                <w:rFonts w:hint="eastAsia" w:asciiTheme="minorEastAsia" w:hAnsiTheme="minorEastAsia" w:eastAsiaTheme="minorEastAsia"/>
                <w:color w:val="auto"/>
                <w:sz w:val="21"/>
                <w:szCs w:val="21"/>
                <w:lang w:val="en-US" w:eastAsia="zh-CN"/>
              </w:rPr>
              <w:t>招标人应在到货后15日内完成开箱验收；中标人应于招标人完成开箱验收之日起30日内完成安装调试；在货物安装调试完毕并连续稳定运行72小时无故障后，中标人可凭借全套验收资料向招标人发起验收申请，招标人在收到中标人的验收申请后30日内完成货物技术验收。</w:t>
            </w:r>
          </w:p>
          <w:p w14:paraId="182BAF44">
            <w:pPr>
              <w:tabs>
                <w:tab w:val="left" w:pos="540"/>
              </w:tabs>
              <w:spacing w:line="360" w:lineRule="auto"/>
              <w:ind w:left="21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US" w:eastAsia="zh-CN"/>
              </w:rPr>
              <w:t>2</w:t>
            </w:r>
            <w:r>
              <w:rPr>
                <w:rFonts w:hint="eastAsia"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lang w:val="en-US" w:eastAsia="zh-CN"/>
              </w:rPr>
              <w:t>货物</w:t>
            </w:r>
            <w:r>
              <w:rPr>
                <w:rFonts w:hint="eastAsia" w:asciiTheme="minorEastAsia" w:hAnsiTheme="minorEastAsia" w:eastAsiaTheme="minorEastAsia"/>
                <w:color w:val="auto"/>
                <w:sz w:val="21"/>
                <w:szCs w:val="21"/>
              </w:rPr>
              <w:t>验收程序分为</w:t>
            </w:r>
            <w:r>
              <w:rPr>
                <w:rFonts w:hint="eastAsia" w:asciiTheme="minorEastAsia" w:hAnsiTheme="minorEastAsia" w:eastAsiaTheme="minorEastAsia"/>
                <w:color w:val="auto"/>
                <w:sz w:val="21"/>
                <w:szCs w:val="21"/>
                <w:lang w:val="en-US" w:eastAsia="zh-CN"/>
              </w:rPr>
              <w:t>预验收（如有）、</w:t>
            </w:r>
            <w:r>
              <w:rPr>
                <w:rFonts w:hint="eastAsia" w:asciiTheme="minorEastAsia" w:hAnsiTheme="minorEastAsia" w:eastAsiaTheme="minorEastAsia"/>
                <w:color w:val="auto"/>
                <w:sz w:val="21"/>
                <w:szCs w:val="21"/>
              </w:rPr>
              <w:t>开箱验收、安装调试、技术验收</w:t>
            </w:r>
            <w:r>
              <w:rPr>
                <w:rFonts w:hint="eastAsia" w:asciiTheme="minorEastAsia" w:hAnsiTheme="minorEastAsia" w:eastAsiaTheme="minorEastAsia"/>
                <w:color w:val="auto"/>
                <w:sz w:val="21"/>
                <w:szCs w:val="21"/>
                <w:lang w:eastAsia="zh-CN"/>
              </w:rPr>
              <w:t>、</w:t>
            </w:r>
            <w:r>
              <w:rPr>
                <w:rFonts w:hint="eastAsia" w:asciiTheme="minorEastAsia" w:hAnsiTheme="minorEastAsia" w:eastAsiaTheme="minorEastAsia"/>
                <w:color w:val="auto"/>
                <w:sz w:val="21"/>
                <w:szCs w:val="21"/>
                <w:lang w:val="en-US" w:eastAsia="zh-CN"/>
              </w:rPr>
              <w:t>最终验收（如有）</w:t>
            </w:r>
            <w:r>
              <w:rPr>
                <w:rFonts w:hint="eastAsia" w:asciiTheme="minorEastAsia" w:hAnsiTheme="minorEastAsia" w:eastAsiaTheme="minorEastAsia"/>
                <w:color w:val="auto"/>
                <w:sz w:val="21"/>
                <w:szCs w:val="21"/>
              </w:rPr>
              <w:t>。</w:t>
            </w:r>
          </w:p>
          <w:p w14:paraId="1E23469A">
            <w:pPr>
              <w:tabs>
                <w:tab w:val="left" w:pos="540"/>
              </w:tabs>
              <w:spacing w:line="360" w:lineRule="auto"/>
              <w:ind w:left="210" w:hanging="210" w:hangingChars="100"/>
              <w:rPr>
                <w:rFonts w:hint="eastAsia"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（1）预验收（招标人自行选择）：货物出厂前10天，中标人应提前通知招标人，招标人派人到生产厂地进行预备验收，以保证货物符合招标人的需求，签订《预验收报告》。</w:t>
            </w:r>
          </w:p>
          <w:p w14:paraId="5AD3AE9E">
            <w:pPr>
              <w:tabs>
                <w:tab w:val="left" w:pos="540"/>
              </w:tabs>
              <w:spacing w:line="360" w:lineRule="auto"/>
              <w:ind w:left="21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lang w:val="en-US" w:eastAsia="zh-CN"/>
              </w:rPr>
              <w:t>2</w:t>
            </w:r>
            <w:r>
              <w:rPr>
                <w:rFonts w:hint="eastAsia" w:asciiTheme="minorEastAsia" w:hAnsiTheme="minorEastAsia" w:eastAsiaTheme="minorEastAsia"/>
                <w:color w:val="auto"/>
                <w:sz w:val="21"/>
                <w:szCs w:val="21"/>
              </w:rPr>
              <w:t>）开箱验收：货物送达招标人指定位置后，于货物安装调试前进行开箱验收，验收通过签订《开箱验收单》。</w:t>
            </w:r>
          </w:p>
          <w:p w14:paraId="50B73A12">
            <w:pPr>
              <w:tabs>
                <w:tab w:val="left" w:pos="540"/>
              </w:tabs>
              <w:spacing w:line="360" w:lineRule="auto"/>
              <w:ind w:left="21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US" w:eastAsia="zh-CN"/>
              </w:rPr>
              <w:t>①</w:t>
            </w:r>
            <w:r>
              <w:rPr>
                <w:rFonts w:hint="eastAsia" w:asciiTheme="minorEastAsia" w:hAnsiTheme="minorEastAsia" w:eastAsiaTheme="minorEastAsia"/>
                <w:color w:val="auto"/>
                <w:sz w:val="21"/>
                <w:szCs w:val="21"/>
              </w:rPr>
              <w:t>以本协议第一条“配置清单”“随机文件”为依据，甲乙双方代表共同开箱清点货物、配件、资料等，经查验，实收货物完好并与上述清单所列示内容一致，招标人在“开箱验收单”上签字。如出现不符，</w:t>
            </w:r>
            <w:r>
              <w:rPr>
                <w:rFonts w:hint="eastAsia" w:asciiTheme="minorEastAsia" w:hAnsiTheme="minorEastAsia" w:eastAsiaTheme="minorEastAsia"/>
                <w:color w:val="auto"/>
                <w:sz w:val="21"/>
                <w:szCs w:val="21"/>
                <w:lang w:val="en-GB"/>
              </w:rPr>
              <w:t>中标人</w:t>
            </w:r>
            <w:r>
              <w:rPr>
                <w:rFonts w:hint="eastAsia" w:asciiTheme="minorEastAsia" w:hAnsiTheme="minorEastAsia" w:eastAsiaTheme="minorEastAsia"/>
                <w:color w:val="auto"/>
                <w:sz w:val="21"/>
                <w:szCs w:val="21"/>
              </w:rPr>
              <w:t>负责解决相关事宜，赔偿因此给招标人造成的损失。</w:t>
            </w:r>
          </w:p>
          <w:p w14:paraId="6464EB7D">
            <w:pPr>
              <w:tabs>
                <w:tab w:val="left" w:pos="540"/>
              </w:tabs>
              <w:spacing w:line="360" w:lineRule="auto"/>
              <w:ind w:left="21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US" w:eastAsia="zh-CN"/>
              </w:rPr>
              <w:t>②</w:t>
            </w:r>
            <w:r>
              <w:rPr>
                <w:rFonts w:hint="eastAsia" w:asciiTheme="minorEastAsia" w:hAnsiTheme="minorEastAsia" w:eastAsiaTheme="minorEastAsia"/>
                <w:color w:val="auto"/>
                <w:sz w:val="21"/>
                <w:szCs w:val="21"/>
              </w:rPr>
              <w:t>随机文件包括但不限于：关键主机设备的用户手册、保修手册，单证资料、出厂合格检验证书、货物产地证明书及原厂货物质量证明书和出厂验收报告等，及配备件、随机工具、使用操作及安全须知等资料，上述资料在甲乙双方开箱检验后完成交接。</w:t>
            </w:r>
          </w:p>
          <w:p w14:paraId="3FC662DF">
            <w:pPr>
              <w:tabs>
                <w:tab w:val="left" w:pos="540"/>
              </w:tabs>
              <w:spacing w:line="360" w:lineRule="auto"/>
              <w:ind w:left="21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US" w:eastAsia="zh-CN"/>
              </w:rPr>
              <w:t>③</w:t>
            </w:r>
            <w:r>
              <w:rPr>
                <w:rFonts w:hint="eastAsia" w:asciiTheme="minorEastAsia" w:hAnsiTheme="minorEastAsia" w:eastAsiaTheme="minorEastAsia"/>
                <w:color w:val="auto"/>
                <w:sz w:val="21"/>
                <w:szCs w:val="21"/>
                <w:lang w:val="en-GB"/>
              </w:rPr>
              <w:t>中标人</w:t>
            </w:r>
            <w:r>
              <w:rPr>
                <w:rFonts w:hint="eastAsia" w:asciiTheme="minorEastAsia" w:hAnsiTheme="minorEastAsia" w:eastAsiaTheme="minorEastAsia"/>
                <w:color w:val="auto"/>
                <w:sz w:val="21"/>
                <w:szCs w:val="21"/>
              </w:rPr>
              <w:t>必须承诺：凡列入《中华人民共和国实施强制性产品认证的产品目录》的产品在验收时必须出具</w:t>
            </w:r>
            <w:r>
              <w:rPr>
                <w:rFonts w:hint="eastAsia" w:asciiTheme="minorEastAsia" w:hAnsiTheme="minorEastAsia" w:eastAsiaTheme="minorEastAsia"/>
                <w:color w:val="auto"/>
                <w:sz w:val="21"/>
                <w:szCs w:val="21"/>
                <w:lang w:val="en-US" w:eastAsia="zh-CN"/>
              </w:rPr>
              <w:t>加盖投标人公章的</w:t>
            </w:r>
            <w:r>
              <w:rPr>
                <w:rFonts w:hint="eastAsia" w:asciiTheme="minorEastAsia" w:hAnsiTheme="minorEastAsia" w:eastAsiaTheme="minorEastAsia"/>
                <w:color w:val="auto"/>
                <w:sz w:val="21"/>
                <w:szCs w:val="21"/>
              </w:rPr>
              <w:t>CCC认证证书复印件，并在产品外部加施认证标志作为验收依据之一。</w:t>
            </w:r>
          </w:p>
          <w:p w14:paraId="515C954F">
            <w:pPr>
              <w:tabs>
                <w:tab w:val="left" w:pos="540"/>
              </w:tabs>
              <w:spacing w:line="360" w:lineRule="auto"/>
              <w:ind w:left="21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eastAsia="zh-CN"/>
              </w:rPr>
              <w:t>（</w:t>
            </w:r>
            <w:r>
              <w:rPr>
                <w:rFonts w:hint="eastAsia" w:asciiTheme="minorEastAsia" w:hAnsiTheme="minorEastAsia" w:eastAsiaTheme="minorEastAsia"/>
                <w:color w:val="auto"/>
                <w:sz w:val="21"/>
                <w:szCs w:val="21"/>
                <w:lang w:val="en-US" w:eastAsia="zh-CN"/>
              </w:rPr>
              <w:t>3</w:t>
            </w:r>
            <w:r>
              <w:rPr>
                <w:rFonts w:hint="eastAsia" w:asciiTheme="minorEastAsia" w:hAnsiTheme="minorEastAsia" w:eastAsiaTheme="minorEastAsia"/>
                <w:color w:val="auto"/>
                <w:sz w:val="21"/>
                <w:szCs w:val="21"/>
                <w:lang w:eastAsia="zh-CN"/>
              </w:rPr>
              <w:t>）</w:t>
            </w:r>
            <w:r>
              <w:rPr>
                <w:rFonts w:hint="eastAsia" w:asciiTheme="minorEastAsia" w:hAnsiTheme="minorEastAsia" w:eastAsiaTheme="minorEastAsia"/>
                <w:color w:val="auto"/>
                <w:sz w:val="21"/>
                <w:szCs w:val="21"/>
              </w:rPr>
              <w:t>安装调试：</w:t>
            </w:r>
          </w:p>
          <w:p w14:paraId="6260474E">
            <w:pPr>
              <w:tabs>
                <w:tab w:val="left" w:pos="540"/>
              </w:tabs>
              <w:spacing w:line="360" w:lineRule="auto"/>
              <w:ind w:left="21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US" w:eastAsia="zh-CN"/>
              </w:rPr>
              <w:t>①</w:t>
            </w:r>
            <w:r>
              <w:rPr>
                <w:rFonts w:hint="eastAsia" w:asciiTheme="minorEastAsia" w:hAnsiTheme="minorEastAsia" w:eastAsiaTheme="minorEastAsia"/>
                <w:color w:val="auto"/>
                <w:sz w:val="21"/>
                <w:szCs w:val="21"/>
                <w:lang w:val="en-GB"/>
              </w:rPr>
              <w:t>中标人</w:t>
            </w:r>
            <w:r>
              <w:rPr>
                <w:rFonts w:hint="eastAsia" w:asciiTheme="minorEastAsia" w:hAnsiTheme="minorEastAsia" w:eastAsiaTheme="minorEastAsia"/>
                <w:color w:val="auto"/>
                <w:sz w:val="21"/>
                <w:szCs w:val="21"/>
              </w:rPr>
              <w:t>负责货物在使用现场的安装调试工作。开箱验收合格后，</w:t>
            </w:r>
            <w:r>
              <w:rPr>
                <w:rFonts w:hint="eastAsia" w:asciiTheme="minorEastAsia" w:hAnsiTheme="minorEastAsia" w:eastAsiaTheme="minorEastAsia"/>
                <w:color w:val="auto"/>
                <w:sz w:val="21"/>
                <w:szCs w:val="21"/>
                <w:lang w:val="en-GB"/>
              </w:rPr>
              <w:t>中标人</w:t>
            </w:r>
            <w:r>
              <w:rPr>
                <w:rFonts w:hint="eastAsia" w:asciiTheme="minorEastAsia" w:hAnsiTheme="minorEastAsia" w:eastAsiaTheme="minorEastAsia"/>
                <w:color w:val="auto"/>
                <w:sz w:val="21"/>
                <w:szCs w:val="21"/>
              </w:rPr>
              <w:t>工程师应立即进行安装调试工作。</w:t>
            </w:r>
            <w:r>
              <w:rPr>
                <w:rFonts w:hint="eastAsia" w:asciiTheme="minorEastAsia" w:hAnsiTheme="minorEastAsia" w:eastAsiaTheme="minorEastAsia"/>
                <w:color w:val="auto"/>
                <w:sz w:val="21"/>
                <w:szCs w:val="21"/>
                <w:lang w:val="en-GB"/>
              </w:rPr>
              <w:t>中标人</w:t>
            </w:r>
            <w:r>
              <w:rPr>
                <w:rFonts w:hint="eastAsia" w:asciiTheme="minorEastAsia" w:hAnsiTheme="minorEastAsia" w:eastAsiaTheme="minorEastAsia"/>
                <w:color w:val="auto"/>
                <w:sz w:val="21"/>
                <w:szCs w:val="21"/>
              </w:rPr>
              <w:t>须依照招标文件的要求和投标文件的承诺，将货物、系统安装并调试至正常运行的最佳状态。</w:t>
            </w:r>
          </w:p>
          <w:p w14:paraId="45C2F80F">
            <w:pPr>
              <w:tabs>
                <w:tab w:val="left" w:pos="540"/>
              </w:tabs>
              <w:spacing w:line="360" w:lineRule="auto"/>
              <w:ind w:left="21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US" w:eastAsia="zh-CN"/>
              </w:rPr>
              <w:t>②</w:t>
            </w:r>
            <w:r>
              <w:rPr>
                <w:rFonts w:hint="eastAsia" w:asciiTheme="minorEastAsia" w:hAnsiTheme="minorEastAsia" w:eastAsiaTheme="minorEastAsia"/>
                <w:color w:val="auto"/>
                <w:sz w:val="21"/>
                <w:szCs w:val="21"/>
                <w:lang w:val="en-GB"/>
              </w:rPr>
              <w:t>中标人</w:t>
            </w:r>
            <w:r>
              <w:rPr>
                <w:rFonts w:hint="eastAsia" w:asciiTheme="minorEastAsia" w:hAnsiTheme="minorEastAsia" w:eastAsiaTheme="minorEastAsia"/>
                <w:color w:val="auto"/>
                <w:sz w:val="21"/>
                <w:szCs w:val="21"/>
              </w:rPr>
              <w:t>承担开箱后至技术验收完成期间货物的存储责任。安装调试期间设备毁损、灭失的风险由投标人承担，直至招标人签署技术验收单为止。</w:t>
            </w:r>
          </w:p>
          <w:p w14:paraId="3BF176A8">
            <w:pPr>
              <w:tabs>
                <w:tab w:val="left" w:pos="540"/>
              </w:tabs>
              <w:spacing w:line="360" w:lineRule="auto"/>
              <w:ind w:left="21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US" w:eastAsia="zh-CN"/>
              </w:rPr>
              <w:t>③</w:t>
            </w:r>
            <w:r>
              <w:rPr>
                <w:rFonts w:hint="eastAsia" w:asciiTheme="minorEastAsia" w:hAnsiTheme="minorEastAsia" w:eastAsiaTheme="minorEastAsia"/>
                <w:color w:val="auto"/>
                <w:sz w:val="21"/>
                <w:szCs w:val="21"/>
                <w:lang w:val="en-GB"/>
              </w:rPr>
              <w:t>中标人</w:t>
            </w:r>
            <w:r>
              <w:rPr>
                <w:rFonts w:hint="eastAsia" w:asciiTheme="minorEastAsia" w:hAnsiTheme="minorEastAsia" w:eastAsiaTheme="minorEastAsia"/>
                <w:color w:val="auto"/>
                <w:sz w:val="21"/>
                <w:szCs w:val="21"/>
              </w:rPr>
              <w:t>应在货物运抵招标人现场30天内完成货物的安装调试（特殊情况双方商议）。</w:t>
            </w:r>
          </w:p>
          <w:p w14:paraId="25280CB7">
            <w:pPr>
              <w:tabs>
                <w:tab w:val="left" w:pos="540"/>
              </w:tabs>
              <w:spacing w:line="360" w:lineRule="auto"/>
              <w:ind w:left="21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eastAsia="zh-CN"/>
              </w:rPr>
              <w:t>（</w:t>
            </w:r>
            <w:r>
              <w:rPr>
                <w:rFonts w:hint="eastAsia" w:asciiTheme="minorEastAsia" w:hAnsiTheme="minorEastAsia" w:eastAsiaTheme="minorEastAsia"/>
                <w:color w:val="auto"/>
                <w:sz w:val="21"/>
                <w:szCs w:val="21"/>
                <w:lang w:val="en-US" w:eastAsia="zh-CN"/>
              </w:rPr>
              <w:t>4</w:t>
            </w:r>
            <w:r>
              <w:rPr>
                <w:rFonts w:hint="eastAsia" w:asciiTheme="minorEastAsia" w:hAnsiTheme="minorEastAsia" w:eastAsiaTheme="minorEastAsia"/>
                <w:color w:val="auto"/>
                <w:sz w:val="21"/>
                <w:szCs w:val="21"/>
                <w:lang w:eastAsia="zh-CN"/>
              </w:rPr>
              <w:t>）</w:t>
            </w:r>
            <w:r>
              <w:rPr>
                <w:rFonts w:hint="eastAsia" w:asciiTheme="minorEastAsia" w:hAnsiTheme="minorEastAsia" w:eastAsiaTheme="minorEastAsia"/>
                <w:color w:val="auto"/>
                <w:sz w:val="21"/>
                <w:szCs w:val="21"/>
              </w:rPr>
              <w:t>技术验收：安装调试完成后，双方对货物进行技术验收。</w:t>
            </w:r>
            <w:r>
              <w:rPr>
                <w:rFonts w:hint="eastAsia" w:asciiTheme="minorEastAsia" w:hAnsiTheme="minorEastAsia" w:eastAsiaTheme="minorEastAsia"/>
                <w:color w:val="auto"/>
                <w:sz w:val="21"/>
                <w:szCs w:val="21"/>
                <w:lang w:val="en-GB"/>
              </w:rPr>
              <w:t>中标人</w:t>
            </w:r>
            <w:r>
              <w:rPr>
                <w:rFonts w:hint="eastAsia" w:asciiTheme="minorEastAsia" w:hAnsiTheme="minorEastAsia" w:eastAsiaTheme="minorEastAsia"/>
                <w:color w:val="auto"/>
                <w:sz w:val="21"/>
                <w:szCs w:val="21"/>
              </w:rPr>
              <w:t>应在招标人签署《开箱验收单》之日起60日内完成货物的技术验收（特殊情况双方商议）；因招标人原因导致验收推迟的，验收时限相应顺延。</w:t>
            </w:r>
          </w:p>
          <w:p w14:paraId="08F6EB6B">
            <w:pPr>
              <w:tabs>
                <w:tab w:val="left" w:pos="540"/>
              </w:tabs>
              <w:spacing w:line="360" w:lineRule="auto"/>
              <w:ind w:left="183" w:leftChars="87" w:firstLine="0" w:firstLineChars="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US" w:eastAsia="zh-CN"/>
              </w:rPr>
              <w:t>①</w:t>
            </w:r>
            <w:r>
              <w:rPr>
                <w:rFonts w:hint="eastAsia" w:asciiTheme="minorEastAsia" w:hAnsiTheme="minorEastAsia" w:eastAsiaTheme="minorEastAsia"/>
                <w:color w:val="auto"/>
                <w:sz w:val="21"/>
                <w:szCs w:val="21"/>
              </w:rPr>
              <w:t>检测依据及标准</w:t>
            </w:r>
          </w:p>
          <w:p w14:paraId="1770FAB8">
            <w:pPr>
              <w:tabs>
                <w:tab w:val="left" w:pos="540"/>
              </w:tabs>
              <w:spacing w:line="360" w:lineRule="auto"/>
              <w:ind w:left="183" w:leftChars="87" w:firstLine="0" w:firstLineChars="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本协议第二条款“主要技术指标”、国家标准、出厂国标准等。</w:t>
            </w:r>
          </w:p>
          <w:p w14:paraId="16A99111">
            <w:pPr>
              <w:tabs>
                <w:tab w:val="left" w:pos="540"/>
              </w:tabs>
              <w:spacing w:line="360" w:lineRule="auto"/>
              <w:ind w:left="183" w:leftChars="87" w:firstLine="0" w:firstLineChars="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lang w:val="en-US" w:eastAsia="zh-CN"/>
              </w:rPr>
              <w:t>②</w:t>
            </w:r>
            <w:r>
              <w:rPr>
                <w:rFonts w:hint="eastAsia" w:asciiTheme="minorEastAsia" w:hAnsiTheme="minorEastAsia" w:eastAsiaTheme="minorEastAsia"/>
                <w:color w:val="auto"/>
                <w:sz w:val="21"/>
                <w:szCs w:val="21"/>
              </w:rPr>
              <w:t>检测内容：检测内容应完全包含投标文件所列的主要技术指标，可根据实际情况进行补充检验项目，但不能减少。</w:t>
            </w:r>
          </w:p>
          <w:p w14:paraId="769C2C78">
            <w:pPr>
              <w:tabs>
                <w:tab w:val="left" w:pos="540"/>
              </w:tabs>
              <w:spacing w:line="360" w:lineRule="auto"/>
              <w:ind w:left="183" w:leftChars="87" w:firstLine="0" w:firstLineChars="0"/>
              <w:rPr>
                <w:rFonts w:hint="eastAsia"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依据验收标准，编制验收大纲，对“检验内容”所列示的性能指标，按照上述约定的“检验方法”，双方对货物各项功能、指标进行符合性测试，形成验收报告，结果合格达到技术指标规定后，双方签署“技术验收单”并加盖公章，作为货物完成技术验收的依据，货物进入质保期。</w:t>
            </w:r>
          </w:p>
          <w:p w14:paraId="3C3CB0A3">
            <w:pPr>
              <w:tabs>
                <w:tab w:val="left" w:pos="540"/>
              </w:tabs>
              <w:spacing w:line="360" w:lineRule="auto"/>
              <w:ind w:left="210" w:hanging="210" w:hangingChars="100"/>
              <w:rPr>
                <w:rFonts w:hint="eastAsia" w:ascii="Calibri" w:hAnsi="Calibri" w:eastAsia="宋体" w:cs="Calibri"/>
                <w:color w:val="auto"/>
                <w:kern w:val="2"/>
                <w:sz w:val="24"/>
                <w:szCs w:val="22"/>
                <w:lang w:val="en-US" w:eastAsia="zh-CN" w:bidi="ar-SA"/>
              </w:rPr>
            </w:pPr>
            <w:r>
              <w:rPr>
                <w:rFonts w:hint="eastAsia" w:asciiTheme="minorEastAsia" w:hAnsiTheme="minorEastAsia" w:eastAsiaTheme="minorEastAsia"/>
                <w:color w:val="auto"/>
                <w:sz w:val="21"/>
                <w:szCs w:val="21"/>
                <w:lang w:eastAsia="zh-CN"/>
              </w:rPr>
              <w:t>（</w:t>
            </w:r>
            <w:r>
              <w:rPr>
                <w:rFonts w:hint="eastAsia" w:asciiTheme="minorEastAsia" w:hAnsiTheme="minorEastAsia" w:eastAsiaTheme="minorEastAsia"/>
                <w:color w:val="auto"/>
                <w:sz w:val="21"/>
                <w:szCs w:val="21"/>
                <w:lang w:val="en-US" w:eastAsia="zh-CN"/>
              </w:rPr>
              <w:t>5</w:t>
            </w:r>
            <w:r>
              <w:rPr>
                <w:rFonts w:hint="eastAsia" w:asciiTheme="minorEastAsia" w:hAnsiTheme="minorEastAsia" w:eastAsiaTheme="minorEastAsia"/>
                <w:color w:val="auto"/>
                <w:sz w:val="21"/>
                <w:szCs w:val="21"/>
                <w:lang w:eastAsia="zh-CN"/>
              </w:rPr>
              <w:t>）</w:t>
            </w:r>
            <w:r>
              <w:rPr>
                <w:rFonts w:hint="eastAsia" w:asciiTheme="minorEastAsia" w:hAnsiTheme="minorEastAsia" w:eastAsiaTheme="minorEastAsia"/>
                <w:color w:val="auto"/>
                <w:sz w:val="21"/>
                <w:szCs w:val="21"/>
              </w:rPr>
              <w:t>最终验收(如有)：技术验收通过之后满1年，未产生质量问题或已按要求解决问题，双方签署《最终接收证书》并加盖公章。</w:t>
            </w:r>
          </w:p>
        </w:tc>
      </w:tr>
      <w:tr w14:paraId="6E10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3" w:type="dxa"/>
            <w:vAlign w:val="center"/>
          </w:tcPr>
          <w:p w14:paraId="205F22BF">
            <w:pPr>
              <w:tabs>
                <w:tab w:val="left" w:pos="180"/>
              </w:tabs>
              <w:spacing w:line="360" w:lineRule="auto"/>
              <w:jc w:val="center"/>
              <w:rPr>
                <w:rFonts w:hint="default"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12</w:t>
            </w:r>
          </w:p>
        </w:tc>
        <w:tc>
          <w:tcPr>
            <w:tcW w:w="1623" w:type="dxa"/>
            <w:vAlign w:val="center"/>
          </w:tcPr>
          <w:p w14:paraId="5F08FA1B">
            <w:pPr>
              <w:spacing w:line="360" w:lineRule="auto"/>
              <w:ind w:right="-92" w:rightChars="-44"/>
              <w:jc w:val="center"/>
              <w:rPr>
                <w:rFonts w:hint="eastAsia" w:cs="Calibri" w:asciiTheme="minorEastAsia" w:hAnsiTheme="minorEastAsia" w:eastAsiaTheme="minorEastAsia"/>
                <w:color w:val="auto"/>
                <w:kern w:val="2"/>
                <w:sz w:val="21"/>
                <w:szCs w:val="21"/>
                <w:lang w:val="en-GB" w:eastAsia="zh-CN" w:bidi="ar-SA"/>
              </w:rPr>
            </w:pPr>
            <w:r>
              <w:rPr>
                <w:rFonts w:hint="eastAsia" w:asciiTheme="minorEastAsia" w:hAnsiTheme="minorEastAsia" w:eastAsiaTheme="minorEastAsia"/>
                <w:color w:val="auto"/>
                <w:sz w:val="21"/>
                <w:szCs w:val="21"/>
                <w:lang w:val="en-GB"/>
              </w:rPr>
              <w:t>技术培训</w:t>
            </w:r>
          </w:p>
        </w:tc>
        <w:tc>
          <w:tcPr>
            <w:tcW w:w="7241" w:type="dxa"/>
            <w:vAlign w:val="center"/>
          </w:tcPr>
          <w:p w14:paraId="15C761F6">
            <w:pPr>
              <w:tabs>
                <w:tab w:val="left" w:pos="540"/>
              </w:tabs>
              <w:spacing w:line="360" w:lineRule="auto"/>
              <w:ind w:left="210" w:hanging="210" w:hangingChars="100"/>
              <w:rPr>
                <w:rFonts w:hint="eastAsia" w:asciiTheme="minorEastAsia" w:hAnsiTheme="minorEastAsia" w:eastAsiaTheme="minorEastAsia"/>
                <w:color w:val="auto"/>
                <w:sz w:val="21"/>
                <w:szCs w:val="21"/>
                <w:lang w:val="en-GB" w:eastAsia="zh-CN"/>
              </w:rPr>
            </w:pPr>
            <w:r>
              <w:rPr>
                <w:rFonts w:hint="eastAsia" w:asciiTheme="minorEastAsia" w:hAnsiTheme="minorEastAsia" w:eastAsiaTheme="minorEastAsia"/>
                <w:color w:val="auto"/>
                <w:sz w:val="21"/>
                <w:szCs w:val="21"/>
              </w:rPr>
              <w:t>1.</w:t>
            </w:r>
            <w:r>
              <w:rPr>
                <w:rFonts w:hint="eastAsia" w:asciiTheme="minorEastAsia" w:hAnsiTheme="minorEastAsia" w:eastAsiaTheme="minorEastAsia"/>
                <w:color w:val="auto"/>
                <w:sz w:val="21"/>
                <w:szCs w:val="21"/>
                <w:lang w:val="en-GB"/>
              </w:rPr>
              <w:t>设备安装后，中标人须按照采购人指定的相关标准要求，提供测试培训或技能培训，质保期内应用工程师定期上门指导，频率不少于4次/月</w:t>
            </w:r>
            <w:r>
              <w:rPr>
                <w:rFonts w:hint="eastAsia" w:asciiTheme="minorEastAsia" w:hAnsiTheme="minorEastAsia" w:eastAsiaTheme="minorEastAsia"/>
                <w:color w:val="auto"/>
                <w:sz w:val="21"/>
                <w:szCs w:val="21"/>
                <w:lang w:val="en-GB" w:eastAsia="zh-CN"/>
              </w:rPr>
              <w:t>。</w:t>
            </w:r>
          </w:p>
          <w:p w14:paraId="0FBC41CA">
            <w:pPr>
              <w:tabs>
                <w:tab w:val="left" w:pos="540"/>
              </w:tabs>
              <w:spacing w:line="360" w:lineRule="auto"/>
              <w:ind w:left="210" w:hanging="210" w:hangingChars="100"/>
              <w:rPr>
                <w:rFonts w:hint="eastAsia" w:cs="Calibri" w:asciiTheme="minorEastAsia" w:hAnsiTheme="minorEastAsia" w:eastAsiaTheme="minorEastAsia"/>
                <w:color w:val="auto"/>
                <w:kern w:val="2"/>
                <w:sz w:val="21"/>
                <w:szCs w:val="21"/>
                <w:lang w:val="en-US" w:eastAsia="zh-CN" w:bidi="ar-SA"/>
              </w:rPr>
            </w:pPr>
            <w:r>
              <w:rPr>
                <w:rFonts w:hint="eastAsia" w:asciiTheme="minorEastAsia" w:hAnsiTheme="minorEastAsia" w:eastAsiaTheme="minorEastAsia"/>
                <w:color w:val="auto"/>
                <w:sz w:val="21"/>
                <w:szCs w:val="21"/>
                <w:lang w:val="en-US" w:eastAsia="zh-CN"/>
              </w:rPr>
              <w:t>2</w:t>
            </w:r>
            <w:r>
              <w:rPr>
                <w:rFonts w:hint="eastAsia" w:asciiTheme="minorEastAsia" w:hAnsiTheme="minorEastAsia" w:eastAsiaTheme="minorEastAsia"/>
                <w:color w:val="auto"/>
                <w:sz w:val="21"/>
                <w:szCs w:val="21"/>
                <w:lang w:eastAsia="zh-CN"/>
              </w:rPr>
              <w:t>.</w:t>
            </w:r>
            <w:r>
              <w:rPr>
                <w:rFonts w:hint="eastAsia" w:asciiTheme="minorEastAsia" w:hAnsiTheme="minorEastAsia" w:eastAsiaTheme="minorEastAsia"/>
                <w:color w:val="auto"/>
                <w:sz w:val="21"/>
                <w:szCs w:val="21"/>
                <w:lang w:val="en-GB"/>
              </w:rPr>
              <w:t>中标人</w:t>
            </w:r>
            <w:r>
              <w:rPr>
                <w:rFonts w:hint="eastAsia" w:asciiTheme="minorEastAsia" w:hAnsiTheme="minorEastAsia" w:eastAsiaTheme="minorEastAsia"/>
                <w:color w:val="auto"/>
                <w:sz w:val="21"/>
                <w:szCs w:val="21"/>
                <w:lang w:val="en-GB"/>
              </w:rPr>
              <w:t>需提供完整的培训计划和方案，列明培训人员数量、达到的水平等，培训内容包括设备原理、操作、数据处理和维护保养的培训等，使</w:t>
            </w:r>
            <w:r>
              <w:rPr>
                <w:rFonts w:hint="eastAsia" w:asciiTheme="minorEastAsia" w:hAnsiTheme="minorEastAsia" w:eastAsiaTheme="minorEastAsia"/>
                <w:color w:val="auto"/>
                <w:sz w:val="21"/>
                <w:szCs w:val="21"/>
                <w:lang w:val="en-US" w:eastAsia="zh-CN"/>
              </w:rPr>
              <w:t>招标人</w:t>
            </w:r>
            <w:r>
              <w:rPr>
                <w:rFonts w:hint="eastAsia" w:asciiTheme="minorEastAsia" w:hAnsiTheme="minorEastAsia" w:eastAsiaTheme="minorEastAsia"/>
                <w:color w:val="auto"/>
                <w:sz w:val="21"/>
                <w:szCs w:val="21"/>
                <w:lang w:val="en-GB"/>
              </w:rPr>
              <w:t>达到独立操作水平，培训所需全部费用已包含在投标价中。</w:t>
            </w:r>
          </w:p>
        </w:tc>
      </w:tr>
      <w:tr w14:paraId="5BA3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673" w:type="dxa"/>
            <w:vAlign w:val="center"/>
          </w:tcPr>
          <w:p w14:paraId="7603D031">
            <w:pPr>
              <w:tabs>
                <w:tab w:val="left" w:pos="180"/>
              </w:tabs>
              <w:spacing w:line="360" w:lineRule="auto"/>
              <w:jc w:val="center"/>
              <w:rPr>
                <w:rFonts w:hint="eastAsia" w:asciiTheme="minorEastAsia" w:hAnsiTheme="minorEastAsia" w:eastAsiaTheme="minorEastAsia"/>
                <w:color w:val="auto"/>
                <w:sz w:val="21"/>
                <w:szCs w:val="21"/>
                <w:lang w:eastAsia="zh-CN"/>
              </w:rPr>
            </w:pPr>
            <w:r>
              <w:rPr>
                <w:rFonts w:hint="eastAsia" w:asciiTheme="minorEastAsia" w:hAnsiTheme="minorEastAsia" w:eastAsiaTheme="minorEastAsia"/>
                <w:color w:val="auto"/>
                <w:sz w:val="21"/>
                <w:szCs w:val="21"/>
              </w:rPr>
              <w:t>1</w:t>
            </w:r>
            <w:r>
              <w:rPr>
                <w:rFonts w:hint="eastAsia" w:asciiTheme="minorEastAsia" w:hAnsiTheme="minorEastAsia" w:eastAsiaTheme="minorEastAsia"/>
                <w:color w:val="auto"/>
                <w:sz w:val="21"/>
                <w:szCs w:val="21"/>
                <w:lang w:val="en-US" w:eastAsia="zh-CN"/>
              </w:rPr>
              <w:t>3</w:t>
            </w:r>
          </w:p>
        </w:tc>
        <w:tc>
          <w:tcPr>
            <w:tcW w:w="1623" w:type="dxa"/>
            <w:vAlign w:val="center"/>
          </w:tcPr>
          <w:p w14:paraId="6250665B">
            <w:pPr>
              <w:spacing w:line="360" w:lineRule="auto"/>
              <w:jc w:val="center"/>
              <w:rPr>
                <w:rFonts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GB"/>
              </w:rPr>
              <w:t>质量保证期</w:t>
            </w:r>
          </w:p>
        </w:tc>
        <w:tc>
          <w:tcPr>
            <w:tcW w:w="7241" w:type="dxa"/>
            <w:vAlign w:val="center"/>
          </w:tcPr>
          <w:p w14:paraId="5E9073A9">
            <w:pPr>
              <w:tabs>
                <w:tab w:val="left" w:pos="540"/>
              </w:tabs>
              <w:spacing w:line="360" w:lineRule="auto"/>
              <w:ind w:left="210" w:hanging="210" w:hangingChars="100"/>
              <w:rPr>
                <w:rFonts w:hint="eastAsia"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1</w:t>
            </w:r>
            <w:r>
              <w:rPr>
                <w:rFonts w:hint="eastAsia" w:asciiTheme="minorEastAsia" w:hAnsiTheme="minorEastAsia" w:eastAsiaTheme="minorEastAsia"/>
                <w:color w:val="auto"/>
                <w:sz w:val="21"/>
                <w:szCs w:val="21"/>
                <w:lang w:eastAsia="zh-CN"/>
              </w:rPr>
              <w:t>.</w:t>
            </w:r>
            <w:r>
              <w:rPr>
                <w:rFonts w:hint="eastAsia" w:asciiTheme="minorEastAsia" w:hAnsiTheme="minorEastAsia" w:eastAsiaTheme="minorEastAsia"/>
                <w:color w:val="auto"/>
                <w:sz w:val="21"/>
                <w:szCs w:val="21"/>
              </w:rPr>
              <w:t>从中华人民共和国关境内提供的货物,包括关境内制造的货物&amp;投标截止时间前已经进口的货物：以合同标的物到达招标人指定地点作为交货之日，以开箱验收单上到货日期为准；以《技术验收单》最后签字之日作为产品通过验收之日，开始计算质保期。</w:t>
            </w:r>
          </w:p>
          <w:p w14:paraId="40E55A2D">
            <w:pPr>
              <w:tabs>
                <w:tab w:val="left" w:pos="540"/>
              </w:tabs>
              <w:spacing w:line="360" w:lineRule="auto"/>
              <w:ind w:left="210" w:hanging="210" w:hangingChars="100"/>
              <w:rPr>
                <w:rFonts w:hint="eastAsia"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2</w:t>
            </w:r>
            <w:r>
              <w:rPr>
                <w:rFonts w:hint="eastAsia" w:asciiTheme="minorEastAsia" w:hAnsiTheme="minorEastAsia" w:eastAsiaTheme="minorEastAsia"/>
                <w:color w:val="auto"/>
                <w:sz w:val="21"/>
                <w:szCs w:val="21"/>
                <w:lang w:eastAsia="zh-CN"/>
              </w:rPr>
              <w:t>.</w:t>
            </w:r>
            <w:r>
              <w:rPr>
                <w:rFonts w:hint="eastAsia" w:asciiTheme="minorEastAsia" w:hAnsiTheme="minorEastAsia" w:eastAsiaTheme="minorEastAsia"/>
                <w:color w:val="auto"/>
                <w:sz w:val="21"/>
                <w:szCs w:val="21"/>
              </w:rPr>
              <w:t>从中华人民共和国关境外提供的货物：以正式有效的空运单或者海运提单发货日期作为产品交货之日，以《技术验收单》最后签字之日作为产品通过验收之日，开始计算质保期。</w:t>
            </w:r>
          </w:p>
          <w:p w14:paraId="2D2FDBD5">
            <w:pPr>
              <w:tabs>
                <w:tab w:val="left" w:pos="540"/>
              </w:tabs>
              <w:spacing w:line="360" w:lineRule="auto"/>
              <w:ind w:left="210" w:hanging="210" w:hangingChars="100"/>
              <w:rPr>
                <w:rFonts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US" w:eastAsia="zh-CN"/>
              </w:rPr>
              <w:t>3</w:t>
            </w:r>
            <w:r>
              <w:rPr>
                <w:rFonts w:hint="eastAsia" w:asciiTheme="minorEastAsia" w:hAnsiTheme="minorEastAsia" w:eastAsiaTheme="minorEastAsia"/>
                <w:color w:val="auto"/>
                <w:sz w:val="21"/>
                <w:szCs w:val="21"/>
                <w:lang w:val="en-GB"/>
              </w:rPr>
              <w:t>.质量保证期（</w:t>
            </w:r>
            <w:r>
              <w:rPr>
                <w:rFonts w:hint="eastAsia" w:asciiTheme="minorEastAsia" w:hAnsiTheme="minorEastAsia" w:eastAsiaTheme="minorEastAsia"/>
                <w:color w:val="auto"/>
                <w:sz w:val="21"/>
                <w:szCs w:val="21"/>
              </w:rPr>
              <w:t>简称“质保期”</w:t>
            </w:r>
            <w:r>
              <w:rPr>
                <w:rFonts w:hint="eastAsia" w:asciiTheme="minorEastAsia" w:hAnsiTheme="minorEastAsia" w:eastAsiaTheme="minorEastAsia"/>
                <w:color w:val="auto"/>
                <w:sz w:val="21"/>
                <w:szCs w:val="21"/>
                <w:lang w:val="en-GB"/>
              </w:rPr>
              <w:t>）：设备验收合格后 ≥1 年。中标人负担因质量问题造成的所有费用</w:t>
            </w:r>
            <w:r>
              <w:rPr>
                <w:rFonts w:hint="eastAsia" w:asciiTheme="minorEastAsia" w:hAnsiTheme="minorEastAsia" w:eastAsiaTheme="minorEastAsia"/>
                <w:color w:val="auto"/>
                <w:sz w:val="21"/>
                <w:szCs w:val="21"/>
                <w:lang w:val="en-GB" w:eastAsia="zh-CN"/>
              </w:rPr>
              <w:t>，</w:t>
            </w:r>
            <w:r>
              <w:rPr>
                <w:rFonts w:hint="eastAsia" w:asciiTheme="minorEastAsia" w:hAnsiTheme="minorEastAsia" w:eastAsiaTheme="minorEastAsia"/>
                <w:color w:val="auto"/>
                <w:sz w:val="21"/>
                <w:szCs w:val="21"/>
                <w:lang w:val="en-GB"/>
              </w:rPr>
              <w:t>提供终身维修服务。保修期内，所有服务及配件全部包含在报价中。在保修期内设备如果出现问题，中标人应在接到用户要求24小时内给予响应，一般问题应在48小时内解决，重大问题或其他无法迅速解决的问题应在一周内解决或提出明确解决方案。</w:t>
            </w:r>
          </w:p>
          <w:p w14:paraId="3AEBF111">
            <w:pPr>
              <w:tabs>
                <w:tab w:val="left" w:pos="540"/>
              </w:tabs>
              <w:spacing w:line="360" w:lineRule="auto"/>
              <w:ind w:left="210" w:hanging="210" w:hangingChars="100"/>
              <w:rPr>
                <w:rFonts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US" w:eastAsia="zh-CN"/>
              </w:rPr>
              <w:t>4</w:t>
            </w:r>
            <w:r>
              <w:rPr>
                <w:rFonts w:hint="eastAsia" w:asciiTheme="minorEastAsia" w:hAnsiTheme="minorEastAsia" w:eastAsiaTheme="minorEastAsia"/>
                <w:color w:val="auto"/>
                <w:sz w:val="21"/>
                <w:szCs w:val="21"/>
                <w:lang w:val="en-GB"/>
              </w:rPr>
              <w:t>.质保期自双方在货物的技术验收单上签字且加盖公章之日起计算；质保期内</w:t>
            </w:r>
            <w:r>
              <w:rPr>
                <w:rFonts w:hint="eastAsia" w:asciiTheme="minorEastAsia" w:hAnsiTheme="minorEastAsia" w:eastAsiaTheme="minorEastAsia"/>
                <w:color w:val="auto"/>
                <w:sz w:val="21"/>
                <w:szCs w:val="21"/>
              </w:rPr>
              <w:t>中标人</w:t>
            </w:r>
            <w:r>
              <w:rPr>
                <w:rFonts w:hint="eastAsia" w:asciiTheme="minorEastAsia" w:hAnsiTheme="minorEastAsia" w:eastAsiaTheme="minorEastAsia"/>
                <w:color w:val="auto"/>
                <w:sz w:val="21"/>
                <w:szCs w:val="21"/>
                <w:lang w:val="en-GB"/>
              </w:rPr>
              <w:t>对所供货物实行包修、包换、包退、包维护保养，保修</w:t>
            </w:r>
            <w:r>
              <w:rPr>
                <w:rFonts w:hint="eastAsia" w:asciiTheme="minorEastAsia" w:hAnsiTheme="minorEastAsia" w:eastAsiaTheme="minorEastAsia"/>
                <w:color w:val="auto"/>
                <w:sz w:val="21"/>
                <w:szCs w:val="21"/>
                <w:lang w:val="en-US" w:eastAsia="zh-CN"/>
              </w:rPr>
              <w:t>期</w:t>
            </w:r>
            <w:r>
              <w:rPr>
                <w:rFonts w:hint="eastAsia" w:asciiTheme="minorEastAsia" w:hAnsiTheme="minorEastAsia" w:eastAsiaTheme="minorEastAsia"/>
                <w:color w:val="auto"/>
                <w:sz w:val="21"/>
                <w:szCs w:val="21"/>
                <w:lang w:val="en-GB"/>
              </w:rPr>
              <w:t>后设备维修、配件更换只收取成本费用；质保期后</w:t>
            </w:r>
            <w:r>
              <w:rPr>
                <w:rFonts w:hint="eastAsia" w:asciiTheme="minorEastAsia" w:hAnsiTheme="minorEastAsia" w:eastAsiaTheme="minorEastAsia"/>
                <w:color w:val="auto"/>
                <w:sz w:val="21"/>
                <w:szCs w:val="21"/>
              </w:rPr>
              <w:t>中标人</w:t>
            </w:r>
            <w:r>
              <w:rPr>
                <w:rFonts w:hint="eastAsia" w:asciiTheme="minorEastAsia" w:hAnsiTheme="minorEastAsia" w:eastAsiaTheme="minorEastAsia"/>
                <w:color w:val="auto"/>
                <w:sz w:val="21"/>
                <w:szCs w:val="21"/>
                <w:lang w:val="en-GB"/>
              </w:rPr>
              <w:t>应对设备提供终身优惠的技术服务和备件供应。</w:t>
            </w:r>
          </w:p>
          <w:p w14:paraId="087B47F3">
            <w:pPr>
              <w:tabs>
                <w:tab w:val="left" w:pos="540"/>
              </w:tabs>
              <w:spacing w:line="360" w:lineRule="auto"/>
              <w:ind w:left="210" w:hanging="210" w:hangingChars="100"/>
              <w:rPr>
                <w:rFonts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US" w:eastAsia="zh-CN"/>
              </w:rPr>
              <w:t>5</w:t>
            </w:r>
            <w:r>
              <w:rPr>
                <w:rFonts w:hint="eastAsia" w:asciiTheme="minorEastAsia" w:hAnsiTheme="minorEastAsia" w:eastAsiaTheme="minorEastAsia"/>
                <w:color w:val="auto"/>
                <w:sz w:val="21"/>
                <w:szCs w:val="21"/>
                <w:lang w:val="en-GB"/>
              </w:rPr>
              <w:t>.在质保期内，如设备或零部件因非人为因素出现故障而造成短期停用时，则质保期相应顺延。如停用时间累计超过60天则质保期重新计算。</w:t>
            </w:r>
          </w:p>
          <w:p w14:paraId="6BE8DDF4">
            <w:pPr>
              <w:tabs>
                <w:tab w:val="left" w:pos="540"/>
              </w:tabs>
              <w:spacing w:line="360" w:lineRule="auto"/>
              <w:ind w:left="210" w:hanging="210" w:hangingChars="100"/>
              <w:rPr>
                <w:rFonts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US" w:eastAsia="zh-CN"/>
              </w:rPr>
              <w:t>6</w:t>
            </w:r>
            <w:r>
              <w:rPr>
                <w:rFonts w:hint="eastAsia" w:asciiTheme="minorEastAsia" w:hAnsiTheme="minorEastAsia" w:eastAsiaTheme="minorEastAsia"/>
                <w:color w:val="auto"/>
                <w:sz w:val="21"/>
                <w:szCs w:val="21"/>
                <w:lang w:val="en-GB"/>
              </w:rPr>
              <w:t>.在质保期内，如设备非因</w:t>
            </w:r>
            <w:r>
              <w:rPr>
                <w:rFonts w:hint="eastAsia" w:asciiTheme="minorEastAsia" w:hAnsiTheme="minorEastAsia" w:eastAsiaTheme="minorEastAsia"/>
                <w:color w:val="auto"/>
                <w:sz w:val="21"/>
                <w:szCs w:val="21"/>
              </w:rPr>
              <w:t>招标人</w:t>
            </w:r>
            <w:r>
              <w:rPr>
                <w:rFonts w:hint="eastAsia" w:asciiTheme="minorEastAsia" w:hAnsiTheme="minorEastAsia" w:eastAsiaTheme="minorEastAsia"/>
                <w:color w:val="auto"/>
                <w:sz w:val="21"/>
                <w:szCs w:val="21"/>
                <w:lang w:val="en-GB"/>
              </w:rPr>
              <w:t>的人为原因而出现的问题由</w:t>
            </w:r>
            <w:r>
              <w:rPr>
                <w:rFonts w:hint="eastAsia" w:asciiTheme="minorEastAsia" w:hAnsiTheme="minorEastAsia" w:eastAsiaTheme="minorEastAsia"/>
                <w:color w:val="auto"/>
                <w:sz w:val="21"/>
                <w:szCs w:val="21"/>
              </w:rPr>
              <w:t>中标人</w:t>
            </w:r>
            <w:r>
              <w:rPr>
                <w:rFonts w:hint="eastAsia" w:asciiTheme="minorEastAsia" w:hAnsiTheme="minorEastAsia" w:eastAsiaTheme="minorEastAsia"/>
                <w:color w:val="auto"/>
                <w:sz w:val="21"/>
                <w:szCs w:val="21"/>
                <w:lang w:val="en-GB"/>
              </w:rPr>
              <w:t>负责保修、包换或包退，并承担修理、调换或退货的实际费用。</w:t>
            </w:r>
          </w:p>
          <w:p w14:paraId="4D45EF14">
            <w:pPr>
              <w:tabs>
                <w:tab w:val="left" w:pos="540"/>
              </w:tabs>
              <w:spacing w:line="360" w:lineRule="auto"/>
              <w:ind w:left="210" w:hanging="210" w:hangingChars="100"/>
              <w:rPr>
                <w:rFonts w:asciiTheme="minorEastAsia" w:hAnsiTheme="minorEastAsia" w:eastAsiaTheme="minorEastAsia"/>
                <w:color w:val="auto"/>
                <w:sz w:val="21"/>
                <w:szCs w:val="21"/>
                <w:lang w:val="en-GB"/>
              </w:rPr>
            </w:pPr>
            <w:r>
              <w:rPr>
                <w:rFonts w:hint="eastAsia" w:asciiTheme="minorEastAsia" w:hAnsiTheme="minorEastAsia" w:eastAsiaTheme="minorEastAsia"/>
                <w:color w:val="auto"/>
                <w:sz w:val="21"/>
                <w:szCs w:val="21"/>
                <w:lang w:val="en-US" w:eastAsia="zh-CN"/>
              </w:rPr>
              <w:t>7</w:t>
            </w:r>
            <w:r>
              <w:rPr>
                <w:rFonts w:hint="eastAsia" w:asciiTheme="minorEastAsia" w:hAnsiTheme="minorEastAsia" w:eastAsiaTheme="minorEastAsia"/>
                <w:color w:val="auto"/>
                <w:sz w:val="21"/>
                <w:szCs w:val="21"/>
                <w:lang w:val="en-GB"/>
              </w:rPr>
              <w:t>.在质保期内，</w:t>
            </w:r>
            <w:r>
              <w:rPr>
                <w:rFonts w:hint="eastAsia" w:asciiTheme="minorEastAsia" w:hAnsiTheme="minorEastAsia" w:eastAsiaTheme="minorEastAsia"/>
                <w:color w:val="auto"/>
                <w:sz w:val="21"/>
                <w:szCs w:val="21"/>
              </w:rPr>
              <w:t>中标人</w:t>
            </w:r>
            <w:r>
              <w:rPr>
                <w:rFonts w:hint="eastAsia" w:asciiTheme="minorEastAsia" w:hAnsiTheme="minorEastAsia" w:eastAsiaTheme="minorEastAsia"/>
                <w:color w:val="auto"/>
                <w:sz w:val="21"/>
                <w:szCs w:val="21"/>
                <w:lang w:val="en-GB"/>
              </w:rPr>
              <w:t>负责对其提供的货物整机进行维修和系统维护，不再收取任何费用，但非</w:t>
            </w:r>
            <w:r>
              <w:rPr>
                <w:rFonts w:hint="eastAsia" w:asciiTheme="minorEastAsia" w:hAnsiTheme="minorEastAsia" w:eastAsiaTheme="minorEastAsia"/>
                <w:color w:val="auto"/>
                <w:sz w:val="21"/>
                <w:szCs w:val="21"/>
              </w:rPr>
              <w:t>中标人</w:t>
            </w:r>
            <w:r>
              <w:rPr>
                <w:rFonts w:hint="eastAsia" w:asciiTheme="minorEastAsia" w:hAnsiTheme="minorEastAsia" w:eastAsiaTheme="minorEastAsia"/>
                <w:color w:val="auto"/>
                <w:sz w:val="21"/>
                <w:szCs w:val="21"/>
                <w:lang w:val="en-GB"/>
              </w:rPr>
              <w:t>责任的人为因素、自然因素（如火灾、雷击等）造成的故障除外。</w:t>
            </w:r>
          </w:p>
          <w:p w14:paraId="61B47654">
            <w:pPr>
              <w:tabs>
                <w:tab w:val="left" w:pos="540"/>
              </w:tabs>
              <w:spacing w:line="360" w:lineRule="auto"/>
              <w:ind w:left="210" w:hanging="210" w:hangingChars="100"/>
              <w:rPr>
                <w:rFonts w:hint="eastAsia" w:asciiTheme="minorEastAsia" w:hAnsiTheme="minorEastAsia" w:eastAsiaTheme="minorEastAsia"/>
                <w:color w:val="auto"/>
                <w:sz w:val="21"/>
                <w:szCs w:val="21"/>
                <w:lang w:val="en-GB" w:eastAsia="zh-CN"/>
              </w:rPr>
            </w:pPr>
            <w:r>
              <w:rPr>
                <w:rFonts w:hint="eastAsia" w:asciiTheme="minorEastAsia" w:hAnsiTheme="minorEastAsia" w:eastAsiaTheme="minorEastAsia"/>
                <w:color w:val="auto"/>
                <w:sz w:val="21"/>
                <w:szCs w:val="21"/>
                <w:lang w:val="en-US" w:eastAsia="zh-CN"/>
              </w:rPr>
              <w:t>8</w:t>
            </w:r>
            <w:r>
              <w:rPr>
                <w:rFonts w:hint="eastAsia" w:asciiTheme="minorEastAsia" w:hAnsiTheme="minorEastAsia" w:eastAsiaTheme="minorEastAsia"/>
                <w:color w:val="auto"/>
                <w:sz w:val="21"/>
                <w:szCs w:val="21"/>
                <w:lang w:val="en-GB"/>
              </w:rPr>
              <w:t>.质保期</w:t>
            </w:r>
            <w:r>
              <w:rPr>
                <w:rFonts w:hint="eastAsia" w:asciiTheme="minorEastAsia" w:hAnsiTheme="minorEastAsia" w:eastAsiaTheme="minorEastAsia"/>
                <w:color w:val="auto"/>
                <w:sz w:val="21"/>
                <w:szCs w:val="21"/>
                <w:lang w:val="en-US" w:eastAsia="zh-CN"/>
              </w:rPr>
              <w:t>间</w:t>
            </w:r>
            <w:r>
              <w:rPr>
                <w:rFonts w:hint="eastAsia" w:asciiTheme="minorEastAsia" w:hAnsiTheme="minorEastAsia" w:eastAsiaTheme="minorEastAsia"/>
                <w:color w:val="auto"/>
                <w:sz w:val="21"/>
                <w:szCs w:val="21"/>
                <w:lang w:val="en-GB"/>
              </w:rPr>
              <w:t>，同一硬件一个月内连续2次出现同一故障，</w:t>
            </w:r>
            <w:r>
              <w:rPr>
                <w:rFonts w:hint="eastAsia" w:asciiTheme="minorEastAsia" w:hAnsiTheme="minorEastAsia" w:eastAsiaTheme="minorEastAsia"/>
                <w:color w:val="auto"/>
                <w:sz w:val="21"/>
                <w:szCs w:val="21"/>
              </w:rPr>
              <w:t>中标人</w:t>
            </w:r>
            <w:r>
              <w:rPr>
                <w:rFonts w:hint="eastAsia" w:asciiTheme="minorEastAsia" w:hAnsiTheme="minorEastAsia" w:eastAsiaTheme="minorEastAsia"/>
                <w:color w:val="auto"/>
                <w:sz w:val="21"/>
                <w:szCs w:val="21"/>
                <w:lang w:val="en-GB"/>
              </w:rPr>
              <w:t>须无偿更换同一档次货物。更换</w:t>
            </w:r>
            <w:r>
              <w:rPr>
                <w:rFonts w:hint="eastAsia" w:asciiTheme="minorEastAsia" w:hAnsiTheme="minorEastAsia" w:eastAsiaTheme="minorEastAsia"/>
                <w:color w:val="auto"/>
                <w:sz w:val="21"/>
                <w:szCs w:val="21"/>
              </w:rPr>
              <w:t>货物技术</w:t>
            </w:r>
            <w:r>
              <w:rPr>
                <w:rFonts w:hint="eastAsia" w:asciiTheme="minorEastAsia" w:hAnsiTheme="minorEastAsia" w:eastAsiaTheme="minorEastAsia"/>
                <w:color w:val="auto"/>
                <w:sz w:val="21"/>
                <w:szCs w:val="21"/>
                <w:lang w:val="en-GB"/>
              </w:rPr>
              <w:t>验收合格后或硬件出现故障维修后，如质保期不满半年，则质保期延期半年</w:t>
            </w:r>
            <w:r>
              <w:rPr>
                <w:rFonts w:hint="eastAsia" w:asciiTheme="minorEastAsia" w:hAnsiTheme="minorEastAsia" w:eastAsiaTheme="minorEastAsia"/>
                <w:color w:val="auto"/>
                <w:sz w:val="21"/>
                <w:szCs w:val="21"/>
                <w:lang w:val="en-GB" w:eastAsia="zh-CN"/>
              </w:rPr>
              <w:t>。</w:t>
            </w:r>
          </w:p>
          <w:p w14:paraId="4A4CC953">
            <w:pPr>
              <w:tabs>
                <w:tab w:val="left" w:pos="540"/>
              </w:tabs>
              <w:spacing w:line="360" w:lineRule="auto"/>
              <w:ind w:left="210" w:leftChars="0" w:hanging="210" w:hangingChars="100"/>
              <w:rPr>
                <w:color w:val="auto"/>
              </w:rPr>
            </w:pPr>
            <w:r>
              <w:rPr>
                <w:rFonts w:hint="eastAsia" w:asciiTheme="minorEastAsia" w:hAnsiTheme="minorEastAsia" w:eastAsiaTheme="minorEastAsia"/>
                <w:color w:val="auto"/>
                <w:sz w:val="21"/>
                <w:szCs w:val="21"/>
                <w:lang w:val="en-US" w:eastAsia="zh-CN"/>
              </w:rPr>
              <w:t>9</w:t>
            </w:r>
            <w:r>
              <w:rPr>
                <w:rFonts w:hint="eastAsia" w:asciiTheme="minorEastAsia" w:hAnsiTheme="minorEastAsia" w:eastAsiaTheme="minorEastAsia"/>
                <w:color w:val="auto"/>
                <w:sz w:val="21"/>
                <w:szCs w:val="21"/>
                <w:lang w:val="en-GB"/>
              </w:rPr>
              <w:t>.保修期内或保修期外，在不涉及仪器硬件升级的条件下，</w:t>
            </w:r>
            <w:r>
              <w:rPr>
                <w:rFonts w:hint="eastAsia" w:asciiTheme="minorEastAsia" w:hAnsiTheme="minorEastAsia" w:eastAsiaTheme="minorEastAsia"/>
                <w:color w:val="auto"/>
                <w:sz w:val="21"/>
                <w:szCs w:val="21"/>
                <w:lang w:val="en-US" w:eastAsia="zh-CN"/>
              </w:rPr>
              <w:t>中标人</w:t>
            </w:r>
            <w:r>
              <w:rPr>
                <w:rFonts w:hint="eastAsia" w:asciiTheme="minorEastAsia" w:hAnsiTheme="minorEastAsia" w:eastAsiaTheme="minorEastAsia"/>
                <w:color w:val="auto"/>
                <w:sz w:val="21"/>
                <w:szCs w:val="21"/>
                <w:lang w:val="en-GB"/>
              </w:rPr>
              <w:t>提供软件升级服务，所需费用包含在报价中，质保期后货物维修对配件更换只收取成本费用，服务费按最优价格收取。</w:t>
            </w:r>
          </w:p>
        </w:tc>
      </w:tr>
      <w:tr w14:paraId="369D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673" w:type="dxa"/>
            <w:vAlign w:val="center"/>
          </w:tcPr>
          <w:p w14:paraId="70DE1176">
            <w:pPr>
              <w:tabs>
                <w:tab w:val="left" w:pos="180"/>
              </w:tabs>
              <w:spacing w:line="360" w:lineRule="auto"/>
              <w:jc w:val="center"/>
              <w:rPr>
                <w:rFonts w:hint="eastAsia" w:cs="Calibri" w:asciiTheme="minorEastAsia" w:hAnsiTheme="minorEastAsia" w:eastAsiaTheme="minorEastAsia"/>
                <w:color w:val="auto"/>
                <w:kern w:val="2"/>
                <w:sz w:val="21"/>
                <w:szCs w:val="21"/>
                <w:lang w:val="en-US" w:eastAsia="zh-CN" w:bidi="ar-SA"/>
              </w:rPr>
            </w:pPr>
            <w:r>
              <w:rPr>
                <w:rFonts w:hint="eastAsia" w:asciiTheme="minorEastAsia" w:hAnsiTheme="minorEastAsia" w:eastAsiaTheme="minorEastAsia"/>
                <w:color w:val="auto"/>
                <w:sz w:val="21"/>
                <w:szCs w:val="21"/>
              </w:rPr>
              <w:t>1</w:t>
            </w:r>
            <w:r>
              <w:rPr>
                <w:rFonts w:hint="eastAsia" w:asciiTheme="minorEastAsia" w:hAnsiTheme="minorEastAsia" w:eastAsiaTheme="minorEastAsia"/>
                <w:color w:val="auto"/>
                <w:sz w:val="21"/>
                <w:szCs w:val="21"/>
                <w:lang w:val="en-US" w:eastAsia="zh-CN"/>
              </w:rPr>
              <w:t>4</w:t>
            </w:r>
          </w:p>
        </w:tc>
        <w:tc>
          <w:tcPr>
            <w:tcW w:w="1623" w:type="dxa"/>
            <w:vAlign w:val="center"/>
          </w:tcPr>
          <w:p w14:paraId="0A856153">
            <w:pPr>
              <w:spacing w:line="360" w:lineRule="auto"/>
              <w:jc w:val="center"/>
              <w:rPr>
                <w:rFonts w:hint="eastAsia" w:cs="Calibri" w:asciiTheme="minorEastAsia" w:hAnsiTheme="minorEastAsia" w:eastAsiaTheme="minorEastAsia"/>
                <w:color w:val="auto"/>
                <w:kern w:val="2"/>
                <w:sz w:val="21"/>
                <w:szCs w:val="21"/>
                <w:lang w:val="en-GB" w:eastAsia="zh-CN" w:bidi="ar-SA"/>
              </w:rPr>
            </w:pPr>
            <w:r>
              <w:rPr>
                <w:rFonts w:hint="eastAsia" w:asciiTheme="minorEastAsia" w:hAnsiTheme="minorEastAsia" w:eastAsiaTheme="minorEastAsia"/>
                <w:color w:val="auto"/>
                <w:sz w:val="21"/>
                <w:szCs w:val="21"/>
                <w:lang w:val="en-GB"/>
              </w:rPr>
              <w:t>不可抗力</w:t>
            </w:r>
          </w:p>
        </w:tc>
        <w:tc>
          <w:tcPr>
            <w:tcW w:w="7241" w:type="dxa"/>
            <w:vAlign w:val="center"/>
          </w:tcPr>
          <w:p w14:paraId="5C6120CD">
            <w:pPr>
              <w:tabs>
                <w:tab w:val="left" w:pos="540"/>
              </w:tabs>
              <w:spacing w:line="360" w:lineRule="auto"/>
              <w:ind w:left="210" w:hanging="210" w:hangingChars="100"/>
              <w:rPr>
                <w:rFonts w:hint="eastAsia"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1.“不可抗力”系指在缔结合同时无法预见、在执行合同中无法避免、无法控制、不能克服的客观情况，这些事件包括但不限于：洪水、火灾、地震、罢工、战争、流行病、防疫限制和禁运等。</w:t>
            </w:r>
          </w:p>
          <w:p w14:paraId="238FB064">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asciiTheme="minorEastAsia" w:hAnsiTheme="minorEastAsia" w:eastAsiaTheme="minorEastAsia"/>
                <w:color w:val="auto"/>
                <w:sz w:val="21"/>
                <w:szCs w:val="21"/>
              </w:rPr>
              <w:t>2.遭受不可抗力事件的一方应在事件发生后 48 小时内将事件情况用可能的最快捷的方式通知对方本合同有关事项不能履行以避免对方损失的扩大，在该不可抗力事件发生之日起的 15日内给对方寄送一份由国家机关出具的不可抗力的事件证明书，并以书面报告说明该事件的细节和不能履行或部分不能履行或延迟履行本合同的事因后，由合同三方协商确定是否延期履行、部分履行或解除合同，遭受不可抗力的一方根据情况可部分或全部免于承担违约或赔偿责任。</w:t>
            </w:r>
          </w:p>
        </w:tc>
      </w:tr>
      <w:tr w14:paraId="6662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673" w:type="dxa"/>
            <w:vAlign w:val="center"/>
          </w:tcPr>
          <w:p w14:paraId="0C285C3E">
            <w:pPr>
              <w:tabs>
                <w:tab w:val="left" w:pos="180"/>
              </w:tabs>
              <w:spacing w:line="360" w:lineRule="auto"/>
              <w:jc w:val="center"/>
              <w:rPr>
                <w:rFonts w:hint="default"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15</w:t>
            </w:r>
          </w:p>
        </w:tc>
        <w:tc>
          <w:tcPr>
            <w:tcW w:w="1623" w:type="dxa"/>
            <w:vAlign w:val="center"/>
          </w:tcPr>
          <w:p w14:paraId="489CB937">
            <w:pPr>
              <w:spacing w:line="360" w:lineRule="auto"/>
              <w:jc w:val="center"/>
              <w:rPr>
                <w:rFonts w:hint="eastAsia" w:cs="Calibri" w:asciiTheme="minorEastAsia" w:hAnsiTheme="minorEastAsia" w:eastAsiaTheme="minorEastAsia"/>
                <w:color w:val="auto"/>
                <w:kern w:val="2"/>
                <w:sz w:val="21"/>
                <w:szCs w:val="21"/>
                <w:lang w:val="en-US" w:eastAsia="zh-CN" w:bidi="ar-SA"/>
              </w:rPr>
            </w:pPr>
            <w:r>
              <w:rPr>
                <w:rFonts w:hint="eastAsia" w:asciiTheme="minorEastAsia" w:hAnsiTheme="minorEastAsia" w:eastAsiaTheme="minorEastAsia"/>
                <w:color w:val="auto"/>
                <w:sz w:val="21"/>
                <w:szCs w:val="21"/>
                <w:highlight w:val="none"/>
              </w:rPr>
              <w:t>违约责任与赔偿损失</w:t>
            </w:r>
          </w:p>
        </w:tc>
        <w:tc>
          <w:tcPr>
            <w:tcW w:w="7241" w:type="dxa"/>
            <w:vAlign w:val="center"/>
          </w:tcPr>
          <w:p w14:paraId="3614E590">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1.本合同项下货物视为整体，货物的任何部分迟延交付，违约金均应以合同总价作基数计算，即使其对本合同货物的安装、验收、使用等不构成任何影响。</w:t>
            </w:r>
          </w:p>
          <w:p w14:paraId="769131A2">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2.如果</w:t>
            </w:r>
            <w:r>
              <w:rPr>
                <w:rFonts w:hint="eastAsia" w:asciiTheme="minorEastAsia" w:hAnsiTheme="minorEastAsia" w:eastAsiaTheme="minorEastAsia"/>
                <w:color w:val="auto"/>
                <w:sz w:val="21"/>
                <w:szCs w:val="21"/>
              </w:rPr>
              <w:t>中标人</w:t>
            </w:r>
            <w:r>
              <w:rPr>
                <w:rFonts w:hint="eastAsia" w:cs="Calibri" w:asciiTheme="minorEastAsia" w:hAnsiTheme="minorEastAsia" w:eastAsiaTheme="minorEastAsia"/>
                <w:color w:val="auto"/>
                <w:kern w:val="2"/>
                <w:sz w:val="21"/>
                <w:szCs w:val="21"/>
                <w:lang w:val="en-US" w:eastAsia="zh-CN" w:bidi="ar-SA"/>
              </w:rPr>
              <w:t>未能按合同约定按时交付货物/服务/配套资料或未能按合同约定按时安装调试的，除本招标文件规定的不可抗力原因外，</w:t>
            </w:r>
            <w:r>
              <w:rPr>
                <w:rFonts w:hint="eastAsia" w:asciiTheme="minorEastAsia" w:hAnsiTheme="minorEastAsia" w:eastAsiaTheme="minorEastAsia"/>
                <w:color w:val="auto"/>
                <w:sz w:val="21"/>
                <w:szCs w:val="21"/>
              </w:rPr>
              <w:t>中标人</w:t>
            </w:r>
            <w:r>
              <w:rPr>
                <w:rFonts w:hint="eastAsia" w:cs="Calibri" w:asciiTheme="minorEastAsia" w:hAnsiTheme="minorEastAsia" w:eastAsiaTheme="minorEastAsia"/>
                <w:color w:val="auto"/>
                <w:kern w:val="2"/>
                <w:sz w:val="21"/>
                <w:szCs w:val="21"/>
                <w:lang w:val="en-US" w:eastAsia="zh-CN" w:bidi="ar-SA"/>
              </w:rPr>
              <w:t>同意向招标人支付延迟交货违约金，招标人同意延期收货，同时并不免除</w:t>
            </w:r>
            <w:r>
              <w:rPr>
                <w:rFonts w:hint="eastAsia" w:asciiTheme="minorEastAsia" w:hAnsiTheme="minorEastAsia" w:eastAsiaTheme="minorEastAsia"/>
                <w:color w:val="auto"/>
                <w:sz w:val="21"/>
                <w:szCs w:val="21"/>
              </w:rPr>
              <w:t>中标人</w:t>
            </w:r>
            <w:r>
              <w:rPr>
                <w:rFonts w:hint="eastAsia" w:cs="Calibri" w:asciiTheme="minorEastAsia" w:hAnsiTheme="minorEastAsia" w:eastAsiaTheme="minorEastAsia"/>
                <w:color w:val="auto"/>
                <w:kern w:val="2"/>
                <w:sz w:val="21"/>
                <w:szCs w:val="21"/>
                <w:lang w:val="en-US" w:eastAsia="zh-CN" w:bidi="ar-SA"/>
              </w:rPr>
              <w:t>的交货义务。违约金比例为每7日千分之五，不足7天以7天计，但不超过迟交货物总值的百分之五。招标人有权直接从应付给中标人的合同款项中扣除该违约金。若逾期交货超过4周，招标人有权选择单方解除合同，相关违约损失由</w:t>
            </w:r>
            <w:r>
              <w:rPr>
                <w:rFonts w:hint="eastAsia" w:asciiTheme="minorEastAsia" w:hAnsiTheme="minorEastAsia" w:eastAsiaTheme="minorEastAsia"/>
                <w:color w:val="auto"/>
                <w:sz w:val="21"/>
                <w:szCs w:val="21"/>
              </w:rPr>
              <w:t>中标人</w:t>
            </w:r>
            <w:r>
              <w:rPr>
                <w:rFonts w:hint="eastAsia" w:cs="Calibri" w:asciiTheme="minorEastAsia" w:hAnsiTheme="minorEastAsia" w:eastAsiaTheme="minorEastAsia"/>
                <w:color w:val="auto"/>
                <w:kern w:val="2"/>
                <w:sz w:val="21"/>
                <w:szCs w:val="21"/>
                <w:lang w:val="en-US" w:eastAsia="zh-CN" w:bidi="ar-SA"/>
              </w:rPr>
              <w:t>承担。如信用证付款方式，则</w:t>
            </w:r>
            <w:r>
              <w:rPr>
                <w:rFonts w:hint="eastAsia" w:asciiTheme="minorEastAsia" w:hAnsiTheme="minorEastAsia" w:eastAsiaTheme="minorEastAsia"/>
                <w:color w:val="auto"/>
                <w:sz w:val="21"/>
                <w:szCs w:val="21"/>
              </w:rPr>
              <w:t>中标人</w:t>
            </w:r>
            <w:r>
              <w:rPr>
                <w:rFonts w:hint="eastAsia" w:cs="Calibri" w:asciiTheme="minorEastAsia" w:hAnsiTheme="minorEastAsia" w:eastAsiaTheme="minorEastAsia"/>
                <w:color w:val="auto"/>
                <w:kern w:val="2"/>
                <w:sz w:val="21"/>
                <w:szCs w:val="21"/>
                <w:lang w:val="en-US" w:eastAsia="zh-CN" w:bidi="ar-SA"/>
              </w:rPr>
              <w:t>同意违约金由议付行在议付验收款中扣除。如果由于招标人原因导致延迟交货违约的发生，则中标人免责。</w:t>
            </w:r>
          </w:p>
          <w:p w14:paraId="2C6043DA">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3.如招标人无正当理由拒收货物，应向中标人支付拒收货物金额百分之三的违约金。</w:t>
            </w:r>
          </w:p>
          <w:p w14:paraId="6FD7EE16">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4.招标人应按合同约定支付货款，不得拒付、拖欠，否则因延期付款产生的后果由招标人承担。如招标人无正当理由自验收合格之日起超60日逾期付款的，每逾期一天应计付应付而未付价款的万分之三的违约金，最高不超过相应价款的百分之五。</w:t>
            </w:r>
          </w:p>
          <w:p w14:paraId="6818AB66">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5.有下列情形之一，招标人有权解除合同，中标人需在合同解除之日起10个工作日内，退还招标人所支付全部合同款项，并按合同总价的百分之五向招标人支付违约金：</w:t>
            </w:r>
          </w:p>
          <w:p w14:paraId="246BF0E7">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（1）</w:t>
            </w:r>
            <w:r>
              <w:rPr>
                <w:rFonts w:hint="eastAsia" w:cs="Calibri" w:asciiTheme="minorEastAsia" w:hAnsiTheme="minorEastAsia" w:eastAsiaTheme="minorEastAsia"/>
                <w:color w:val="auto"/>
                <w:kern w:val="2"/>
                <w:sz w:val="21"/>
                <w:szCs w:val="21"/>
                <w:lang w:val="en-US" w:eastAsia="zh-CN" w:bidi="ar-SA"/>
              </w:rPr>
              <w:tab/>
            </w:r>
            <w:r>
              <w:rPr>
                <w:rFonts w:hint="eastAsia" w:cs="Calibri" w:asciiTheme="minorEastAsia" w:hAnsiTheme="minorEastAsia" w:eastAsiaTheme="minorEastAsia"/>
                <w:color w:val="auto"/>
                <w:kern w:val="2"/>
                <w:sz w:val="21"/>
                <w:szCs w:val="21"/>
                <w:lang w:val="en-US" w:eastAsia="zh-CN" w:bidi="ar-SA"/>
              </w:rPr>
              <w:t>中标人逾期交付关键货物超过4周或其他货物/服务/配套资料超过10周；</w:t>
            </w:r>
          </w:p>
          <w:p w14:paraId="1926BB07">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（2）</w:t>
            </w:r>
            <w:r>
              <w:rPr>
                <w:rFonts w:hint="eastAsia" w:cs="Calibri" w:asciiTheme="minorEastAsia" w:hAnsiTheme="minorEastAsia" w:eastAsiaTheme="minorEastAsia"/>
                <w:color w:val="auto"/>
                <w:kern w:val="2"/>
                <w:sz w:val="21"/>
                <w:szCs w:val="21"/>
                <w:lang w:val="en-US" w:eastAsia="zh-CN" w:bidi="ar-SA"/>
              </w:rPr>
              <w:tab/>
            </w:r>
            <w:r>
              <w:rPr>
                <w:rFonts w:hint="eastAsia" w:cs="Calibri" w:asciiTheme="minorEastAsia" w:hAnsiTheme="minorEastAsia" w:eastAsiaTheme="minorEastAsia"/>
                <w:color w:val="auto"/>
                <w:kern w:val="2"/>
                <w:sz w:val="21"/>
                <w:szCs w:val="21"/>
                <w:lang w:val="en-US" w:eastAsia="zh-CN" w:bidi="ar-SA"/>
              </w:rPr>
              <w:t>中标人在本合同项下提供的货物/服务/配套资料有权利瑕疵，货物被依法查处、查封、罚没的，或因权利瑕疵导致招标人无法实现合同目的、遭受第三方追责的；</w:t>
            </w:r>
          </w:p>
          <w:p w14:paraId="076740A4">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（3）</w:t>
            </w:r>
            <w:r>
              <w:rPr>
                <w:rFonts w:hint="eastAsia" w:cs="Calibri" w:asciiTheme="minorEastAsia" w:hAnsiTheme="minorEastAsia" w:eastAsiaTheme="minorEastAsia"/>
                <w:color w:val="auto"/>
                <w:kern w:val="2"/>
                <w:sz w:val="21"/>
                <w:szCs w:val="21"/>
                <w:lang w:val="en-US" w:eastAsia="zh-CN" w:bidi="ar-SA"/>
              </w:rPr>
              <w:tab/>
            </w:r>
            <w:r>
              <w:rPr>
                <w:rFonts w:hint="eastAsia" w:cs="Calibri" w:asciiTheme="minorEastAsia" w:hAnsiTheme="minorEastAsia" w:eastAsiaTheme="minorEastAsia"/>
                <w:color w:val="auto"/>
                <w:kern w:val="2"/>
                <w:sz w:val="21"/>
                <w:szCs w:val="21"/>
                <w:lang w:val="en-US" w:eastAsia="zh-CN" w:bidi="ar-SA"/>
              </w:rPr>
              <w:t>提供的货物/服务/配套资料不符合本合同规定的。</w:t>
            </w:r>
          </w:p>
          <w:p w14:paraId="29BCFCFC">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6.招标人发出中标通知书后20日内，</w:t>
            </w:r>
            <w:r>
              <w:rPr>
                <w:rFonts w:hint="eastAsia" w:asciiTheme="minorEastAsia" w:hAnsiTheme="minorEastAsia" w:eastAsiaTheme="minorEastAsia"/>
                <w:color w:val="auto"/>
                <w:sz w:val="21"/>
                <w:szCs w:val="21"/>
              </w:rPr>
              <w:t>中标人</w:t>
            </w:r>
            <w:r>
              <w:rPr>
                <w:rFonts w:hint="eastAsia" w:cs="Calibri" w:asciiTheme="minorEastAsia" w:hAnsiTheme="minorEastAsia" w:eastAsiaTheme="minorEastAsia"/>
                <w:color w:val="auto"/>
                <w:kern w:val="2"/>
                <w:sz w:val="21"/>
                <w:szCs w:val="21"/>
                <w:lang w:val="en-US" w:eastAsia="zh-CN" w:bidi="ar-SA"/>
              </w:rPr>
              <w:t>拒绝签订正式书面合同的，招标人有权按中标金额总价的百分之五向</w:t>
            </w:r>
            <w:r>
              <w:rPr>
                <w:rFonts w:hint="eastAsia" w:asciiTheme="minorEastAsia" w:hAnsiTheme="minorEastAsia" w:eastAsiaTheme="minorEastAsia"/>
                <w:color w:val="auto"/>
                <w:sz w:val="21"/>
                <w:szCs w:val="21"/>
              </w:rPr>
              <w:t>中标人</w:t>
            </w:r>
            <w:r>
              <w:rPr>
                <w:rFonts w:hint="eastAsia" w:cs="Calibri" w:asciiTheme="minorEastAsia" w:hAnsiTheme="minorEastAsia" w:eastAsiaTheme="minorEastAsia"/>
                <w:color w:val="auto"/>
                <w:kern w:val="2"/>
                <w:sz w:val="21"/>
                <w:szCs w:val="21"/>
                <w:lang w:val="en-US" w:eastAsia="zh-CN" w:bidi="ar-SA"/>
              </w:rPr>
              <w:t>要求支付违约金。</w:t>
            </w:r>
          </w:p>
          <w:p w14:paraId="61B8EAA2">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7.合同款项的支付完毕并不意味着合同权利义务履行的结束，</w:t>
            </w:r>
            <w:r>
              <w:rPr>
                <w:rFonts w:hint="eastAsia" w:asciiTheme="minorEastAsia" w:hAnsiTheme="minorEastAsia" w:eastAsiaTheme="minorEastAsia"/>
                <w:color w:val="auto"/>
                <w:sz w:val="21"/>
                <w:szCs w:val="21"/>
              </w:rPr>
              <w:t>中标人</w:t>
            </w:r>
            <w:r>
              <w:rPr>
                <w:rFonts w:hint="eastAsia" w:cs="Calibri" w:asciiTheme="minorEastAsia" w:hAnsiTheme="minorEastAsia" w:eastAsiaTheme="minorEastAsia"/>
                <w:color w:val="auto"/>
                <w:kern w:val="2"/>
                <w:sz w:val="21"/>
                <w:szCs w:val="21"/>
                <w:lang w:val="en-US" w:eastAsia="zh-CN" w:bidi="ar-SA"/>
              </w:rPr>
              <w:t>仍需按合同要求做好质量保证及售后服务工作，如</w:t>
            </w:r>
            <w:r>
              <w:rPr>
                <w:rFonts w:hint="eastAsia" w:asciiTheme="minorEastAsia" w:hAnsiTheme="minorEastAsia" w:eastAsiaTheme="minorEastAsia"/>
                <w:color w:val="auto"/>
                <w:sz w:val="21"/>
                <w:szCs w:val="21"/>
              </w:rPr>
              <w:t>中标人</w:t>
            </w:r>
            <w:r>
              <w:rPr>
                <w:rFonts w:hint="eastAsia" w:cs="Calibri" w:asciiTheme="minorEastAsia" w:hAnsiTheme="minorEastAsia" w:eastAsiaTheme="minorEastAsia"/>
                <w:color w:val="auto"/>
                <w:kern w:val="2"/>
                <w:sz w:val="21"/>
                <w:szCs w:val="21"/>
                <w:lang w:val="en-US" w:eastAsia="zh-CN" w:bidi="ar-SA"/>
              </w:rPr>
              <w:t>违反合同相关规定，需缴纳违约金，违约金金额为合同总额的百分之五，</w:t>
            </w:r>
            <w:r>
              <w:rPr>
                <w:rFonts w:hint="eastAsia" w:asciiTheme="minorEastAsia" w:hAnsiTheme="minorEastAsia" w:eastAsiaTheme="minorEastAsia"/>
                <w:color w:val="auto"/>
                <w:sz w:val="21"/>
                <w:szCs w:val="21"/>
              </w:rPr>
              <w:t>中标人</w:t>
            </w:r>
            <w:r>
              <w:rPr>
                <w:rFonts w:hint="eastAsia" w:cs="Calibri" w:asciiTheme="minorEastAsia" w:hAnsiTheme="minorEastAsia" w:eastAsiaTheme="minorEastAsia"/>
                <w:color w:val="auto"/>
                <w:kern w:val="2"/>
                <w:sz w:val="21"/>
                <w:szCs w:val="21"/>
                <w:lang w:val="en-US" w:eastAsia="zh-CN" w:bidi="ar-SA"/>
              </w:rPr>
              <w:t>需在违约行为发生之日起三日内向招标人支付违约金。</w:t>
            </w:r>
          </w:p>
          <w:p w14:paraId="4FD907C5">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8.除不可抗力原因外，任何一方如造成合同无法继续履行时，应尽早通知其他两方，并商议签署合同终止协议，责任方需赔偿对方由此造成的全部经济损失。</w:t>
            </w:r>
          </w:p>
          <w:p w14:paraId="34441157">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9.招标人中标人双方承诺本合同内容及招标人科研数据、技术参数等商业秘密不得向第三方透露，双方均负有为对方保密的义务。双方签订的技术协议与合同具有同等法律效力。如违反保密义务的，违约方须向守约方支付违约赔偿金，金额以实际损失为基础，不超过合同总额双倍。若违约金明显高于实际损失，守约方有权请求适当减少。</w:t>
            </w:r>
          </w:p>
          <w:p w14:paraId="49931BD9">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10.合同任何一方如严重违反合同条款，则其他方有权终止合同。</w:t>
            </w:r>
          </w:p>
          <w:p w14:paraId="785E9172">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11.其它违约责任按《中华人民共和国民法典》处理。中标人如因违约导致招标人遭受损失的，招标人有权从应付款项中直接扣除相关赔偿金额。招标人有权依据政府采购相关规定对中标人不良行为进行记录并向有关部门报告。</w:t>
            </w:r>
          </w:p>
          <w:p w14:paraId="07FCED59">
            <w:pPr>
              <w:tabs>
                <w:tab w:val="left" w:pos="540"/>
              </w:tabs>
              <w:spacing w:line="360" w:lineRule="auto"/>
              <w:ind w:left="210" w:leftChars="0" w:hanging="210" w:hangingChars="100"/>
              <w:rPr>
                <w:rFonts w:hint="eastAsia" w:cs="Calibri" w:asciiTheme="minorEastAsia" w:hAnsiTheme="minorEastAsia" w:eastAsiaTheme="minorEastAsia"/>
                <w:color w:val="auto"/>
                <w:kern w:val="2"/>
                <w:sz w:val="21"/>
                <w:szCs w:val="21"/>
                <w:lang w:val="en-US" w:eastAsia="zh-CN" w:bidi="ar-SA"/>
              </w:rPr>
            </w:pPr>
            <w:r>
              <w:rPr>
                <w:rFonts w:hint="eastAsia" w:cs="Calibri" w:asciiTheme="minorEastAsia" w:hAnsiTheme="minorEastAsia" w:eastAsiaTheme="minorEastAsia"/>
                <w:color w:val="auto"/>
                <w:kern w:val="2"/>
                <w:sz w:val="21"/>
                <w:szCs w:val="21"/>
                <w:lang w:val="en-US" w:eastAsia="zh-CN" w:bidi="ar-SA"/>
              </w:rPr>
              <w:t>12.设备涉及数据采集功能的，中标人应提供数据本地化存储方案，不得预设任何境外数据传输通道。</w:t>
            </w:r>
          </w:p>
        </w:tc>
      </w:tr>
      <w:tr w14:paraId="6031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673" w:type="dxa"/>
            <w:vAlign w:val="center"/>
          </w:tcPr>
          <w:p w14:paraId="5BFC6C0A">
            <w:pPr>
              <w:tabs>
                <w:tab w:val="left" w:pos="180"/>
              </w:tabs>
              <w:spacing w:line="360" w:lineRule="auto"/>
              <w:jc w:val="center"/>
              <w:rPr>
                <w:rFonts w:hint="default"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16</w:t>
            </w:r>
          </w:p>
        </w:tc>
        <w:tc>
          <w:tcPr>
            <w:tcW w:w="1623" w:type="dxa"/>
            <w:vAlign w:val="center"/>
          </w:tcPr>
          <w:p w14:paraId="64837A8A">
            <w:pPr>
              <w:spacing w:line="360" w:lineRule="auto"/>
              <w:jc w:val="cente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知识产权</w:t>
            </w:r>
          </w:p>
        </w:tc>
        <w:tc>
          <w:tcPr>
            <w:tcW w:w="7241" w:type="dxa"/>
            <w:vAlign w:val="center"/>
          </w:tcPr>
          <w:p w14:paraId="1D57C52F">
            <w:pPr>
              <w:tabs>
                <w:tab w:val="left" w:pos="540"/>
              </w:tabs>
              <w:spacing w:line="360" w:lineRule="auto"/>
              <w:ind w:left="21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1.中标人应保证向招标人销售的本</w:t>
            </w:r>
            <w:r>
              <w:rPr>
                <w:rFonts w:hint="eastAsia" w:asciiTheme="minorEastAsia" w:hAnsiTheme="minorEastAsia" w:eastAsiaTheme="minorEastAsia"/>
                <w:color w:val="auto"/>
                <w:sz w:val="21"/>
                <w:szCs w:val="21"/>
                <w:lang w:val="en-US" w:eastAsia="zh-CN"/>
              </w:rPr>
              <w:t>招标</w:t>
            </w:r>
            <w:r>
              <w:rPr>
                <w:rFonts w:hint="eastAsia" w:asciiTheme="minorEastAsia" w:hAnsiTheme="minorEastAsia" w:eastAsiaTheme="minorEastAsia"/>
                <w:color w:val="auto"/>
                <w:sz w:val="21"/>
                <w:szCs w:val="21"/>
              </w:rPr>
              <w:t>项下的货物或其任何部分不侵犯任何第三方知识产权，并保证招标人购买和正常使用货物过程中免受第三方就知识产权侵权提出的任何纠纷、制裁、索赔或起诉。</w:t>
            </w:r>
          </w:p>
          <w:p w14:paraId="6C55399A">
            <w:pPr>
              <w:tabs>
                <w:tab w:val="left" w:pos="540"/>
              </w:tabs>
              <w:spacing w:line="360" w:lineRule="auto"/>
              <w:ind w:left="21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2.招标人不对中标人提供的货物是否侵犯他人权利负责，如因中标人提供的货物因任何知识产权问题给招标人造成损失的，无论是执行合同期间或合同到期后的任何时间，中标人均应负责解决纠纷,并按招标人损失金额的1.5倍进行赔偿。</w:t>
            </w:r>
          </w:p>
          <w:p w14:paraId="5EFB4F89">
            <w:pPr>
              <w:tabs>
                <w:tab w:val="left" w:pos="540"/>
              </w:tabs>
              <w:spacing w:line="360" w:lineRule="auto"/>
              <w:ind w:left="210" w:leftChars="0" w:hanging="210" w:hangingChars="100"/>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3.对于货物的知识产权非中标人所有的，中标人应于签约前向招标人提供货物的正规销售授权文件。授权文件应真实、合法、有效，且授权范围覆盖本合同项下全部货物及服务。</w:t>
            </w:r>
          </w:p>
        </w:tc>
      </w:tr>
      <w:tr w14:paraId="64B92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673" w:type="dxa"/>
            <w:vAlign w:val="center"/>
          </w:tcPr>
          <w:p w14:paraId="676278BA">
            <w:pPr>
              <w:tabs>
                <w:tab w:val="left" w:pos="180"/>
              </w:tabs>
              <w:spacing w:line="360" w:lineRule="auto"/>
              <w:jc w:val="center"/>
              <w:rPr>
                <w:rFonts w:hint="default"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17</w:t>
            </w:r>
          </w:p>
        </w:tc>
        <w:tc>
          <w:tcPr>
            <w:tcW w:w="1623" w:type="dxa"/>
            <w:vAlign w:val="center"/>
          </w:tcPr>
          <w:p w14:paraId="0D31412E">
            <w:pPr>
              <w:spacing w:line="360" w:lineRule="auto"/>
              <w:jc w:val="center"/>
              <w:rPr>
                <w:rFonts w:hint="default"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其他要求</w:t>
            </w:r>
          </w:p>
        </w:tc>
        <w:tc>
          <w:tcPr>
            <w:tcW w:w="7241" w:type="dxa"/>
            <w:vAlign w:val="center"/>
          </w:tcPr>
          <w:p w14:paraId="342F9439">
            <w:pPr>
              <w:tabs>
                <w:tab w:val="left" w:pos="540"/>
              </w:tabs>
              <w:spacing w:line="360" w:lineRule="auto"/>
              <w:ind w:left="210" w:leftChars="0" w:hanging="210" w:hangingChars="100"/>
              <w:rPr>
                <w:rFonts w:hint="eastAsia" w:asciiTheme="minorEastAsia" w:hAnsiTheme="minorEastAsia" w:eastAsiaTheme="minorEastAsia"/>
                <w:color w:val="auto"/>
                <w:sz w:val="21"/>
                <w:szCs w:val="21"/>
                <w:lang w:eastAsia="zh-CN"/>
              </w:rPr>
            </w:pPr>
            <w:r>
              <w:rPr>
                <w:rFonts w:hint="eastAsia" w:asciiTheme="minorEastAsia" w:hAnsiTheme="minorEastAsia" w:eastAsiaTheme="minorEastAsia"/>
                <w:color w:val="auto"/>
                <w:sz w:val="21"/>
                <w:szCs w:val="21"/>
              </w:rPr>
              <w:t>其他未尽事宜详见合同范本</w:t>
            </w:r>
            <w:r>
              <w:rPr>
                <w:rFonts w:hint="eastAsia" w:asciiTheme="minorEastAsia" w:hAnsiTheme="minorEastAsia" w:eastAsiaTheme="minorEastAsia"/>
                <w:color w:val="auto"/>
                <w:sz w:val="21"/>
                <w:szCs w:val="21"/>
                <w:lang w:eastAsia="zh-CN"/>
              </w:rPr>
              <w:t>。</w:t>
            </w:r>
          </w:p>
        </w:tc>
      </w:tr>
    </w:tbl>
    <w:p w14:paraId="3EC83FE7">
      <w:pPr>
        <w:rPr>
          <w:rFonts w:hint="default" w:ascii="宋体" w:hAnsi="宋体" w:cs="Courier New"/>
          <w:color w:val="auto"/>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217A9C"/>
    <w:multiLevelType w:val="singleLevel"/>
    <w:tmpl w:val="85217A9C"/>
    <w:lvl w:ilvl="0" w:tentative="0">
      <w:start w:val="1"/>
      <w:numFmt w:val="upperLetter"/>
      <w:lvlText w:val="%1."/>
      <w:lvlJc w:val="left"/>
      <w:pPr>
        <w:ind w:left="425" w:hanging="425"/>
      </w:pPr>
      <w:rPr>
        <w:rFonts w:hint="default"/>
      </w:rPr>
    </w:lvl>
  </w:abstractNum>
  <w:abstractNum w:abstractNumId="1">
    <w:nsid w:val="87CCB274"/>
    <w:multiLevelType w:val="singleLevel"/>
    <w:tmpl w:val="87CCB274"/>
    <w:lvl w:ilvl="0" w:tentative="0">
      <w:start w:val="1"/>
      <w:numFmt w:val="decimalEnclosedCircleChinese"/>
      <w:suff w:val="nothing"/>
      <w:lvlText w:val="%1　"/>
      <w:lvlJc w:val="left"/>
      <w:pPr>
        <w:ind w:left="0" w:firstLine="400"/>
      </w:pPr>
      <w:rPr>
        <w:rFonts w:hint="eastAsia"/>
      </w:rPr>
    </w:lvl>
  </w:abstractNum>
  <w:abstractNum w:abstractNumId="2">
    <w:nsid w:val="93240BB9"/>
    <w:multiLevelType w:val="singleLevel"/>
    <w:tmpl w:val="93240BB9"/>
    <w:lvl w:ilvl="0" w:tentative="0">
      <w:start w:val="1"/>
      <w:numFmt w:val="upperLetter"/>
      <w:lvlText w:val="%1."/>
      <w:lvlJc w:val="left"/>
      <w:pPr>
        <w:ind w:left="425" w:hanging="425"/>
      </w:pPr>
      <w:rPr>
        <w:rFonts w:hint="default"/>
      </w:rPr>
    </w:lvl>
  </w:abstractNum>
  <w:abstractNum w:abstractNumId="3">
    <w:nsid w:val="B879F939"/>
    <w:multiLevelType w:val="singleLevel"/>
    <w:tmpl w:val="B879F939"/>
    <w:lvl w:ilvl="0" w:tentative="0">
      <w:start w:val="1"/>
      <w:numFmt w:val="upperLetter"/>
      <w:lvlText w:val="%1."/>
      <w:lvlJc w:val="left"/>
      <w:pPr>
        <w:ind w:left="425" w:hanging="425"/>
      </w:pPr>
      <w:rPr>
        <w:rFonts w:hint="default"/>
      </w:rPr>
    </w:lvl>
  </w:abstractNum>
  <w:abstractNum w:abstractNumId="4">
    <w:nsid w:val="C01EC809"/>
    <w:multiLevelType w:val="singleLevel"/>
    <w:tmpl w:val="C01EC809"/>
    <w:lvl w:ilvl="0" w:tentative="0">
      <w:start w:val="1"/>
      <w:numFmt w:val="decimal"/>
      <w:lvlText w:val="%1."/>
      <w:lvlJc w:val="left"/>
      <w:pPr>
        <w:ind w:left="425" w:hanging="425"/>
      </w:pPr>
      <w:rPr>
        <w:rFonts w:hint="default"/>
      </w:rPr>
    </w:lvl>
  </w:abstractNum>
  <w:abstractNum w:abstractNumId="5">
    <w:nsid w:val="CA42C44A"/>
    <w:multiLevelType w:val="singleLevel"/>
    <w:tmpl w:val="CA42C44A"/>
    <w:lvl w:ilvl="0" w:tentative="0">
      <w:start w:val="1"/>
      <w:numFmt w:val="decimal"/>
      <w:lvlText w:val="%1."/>
      <w:lvlJc w:val="left"/>
      <w:pPr>
        <w:ind w:left="425" w:hanging="425"/>
      </w:pPr>
      <w:rPr>
        <w:rFonts w:hint="default"/>
        <w:b w:val="0"/>
        <w:bCs w:val="0"/>
      </w:rPr>
    </w:lvl>
  </w:abstractNum>
  <w:abstractNum w:abstractNumId="6">
    <w:nsid w:val="D0C064EA"/>
    <w:multiLevelType w:val="singleLevel"/>
    <w:tmpl w:val="D0C064EA"/>
    <w:lvl w:ilvl="0" w:tentative="0">
      <w:start w:val="1"/>
      <w:numFmt w:val="decimalEnclosedCircleChinese"/>
      <w:suff w:val="nothing"/>
      <w:lvlText w:val="%1　"/>
      <w:lvlJc w:val="left"/>
      <w:pPr>
        <w:ind w:left="0" w:firstLine="400"/>
      </w:pPr>
      <w:rPr>
        <w:rFonts w:hint="eastAsia"/>
      </w:rPr>
    </w:lvl>
  </w:abstractNum>
  <w:abstractNum w:abstractNumId="7">
    <w:nsid w:val="01E51F58"/>
    <w:multiLevelType w:val="singleLevel"/>
    <w:tmpl w:val="01E51F58"/>
    <w:lvl w:ilvl="0" w:tentative="0">
      <w:start w:val="1"/>
      <w:numFmt w:val="decimal"/>
      <w:lvlText w:val="(%1)"/>
      <w:lvlJc w:val="left"/>
      <w:pPr>
        <w:ind w:left="425" w:hanging="425"/>
      </w:pPr>
      <w:rPr>
        <w:rFonts w:hint="default"/>
      </w:rPr>
    </w:lvl>
  </w:abstractNum>
  <w:abstractNum w:abstractNumId="8">
    <w:nsid w:val="19800512"/>
    <w:multiLevelType w:val="singleLevel"/>
    <w:tmpl w:val="19800512"/>
    <w:lvl w:ilvl="0" w:tentative="0">
      <w:start w:val="1"/>
      <w:numFmt w:val="decimal"/>
      <w:lvlText w:val="(%1)"/>
      <w:lvlJc w:val="left"/>
      <w:pPr>
        <w:ind w:left="425" w:hanging="425"/>
      </w:pPr>
      <w:rPr>
        <w:rFonts w:hint="default"/>
      </w:rPr>
    </w:lvl>
  </w:abstractNum>
  <w:abstractNum w:abstractNumId="9">
    <w:nsid w:val="21E2E74D"/>
    <w:multiLevelType w:val="singleLevel"/>
    <w:tmpl w:val="21E2E74D"/>
    <w:lvl w:ilvl="0" w:tentative="0">
      <w:start w:val="1"/>
      <w:numFmt w:val="decimalEnclosedCircleChinese"/>
      <w:suff w:val="nothing"/>
      <w:lvlText w:val="%1　"/>
      <w:lvlJc w:val="left"/>
      <w:pPr>
        <w:ind w:left="0" w:firstLine="400"/>
      </w:pPr>
      <w:rPr>
        <w:rFonts w:hint="eastAsia"/>
      </w:rPr>
    </w:lvl>
  </w:abstractNum>
  <w:abstractNum w:abstractNumId="10">
    <w:nsid w:val="6235B7A4"/>
    <w:multiLevelType w:val="singleLevel"/>
    <w:tmpl w:val="6235B7A4"/>
    <w:lvl w:ilvl="0" w:tentative="0">
      <w:start w:val="1"/>
      <w:numFmt w:val="decimalEnclosedCircleChinese"/>
      <w:suff w:val="nothing"/>
      <w:lvlText w:val="%1　"/>
      <w:lvlJc w:val="left"/>
      <w:pPr>
        <w:ind w:left="0" w:firstLine="400"/>
      </w:pPr>
      <w:rPr>
        <w:rFonts w:hint="eastAsia"/>
      </w:rPr>
    </w:lvl>
  </w:abstractNum>
  <w:abstractNum w:abstractNumId="11">
    <w:nsid w:val="6FA48207"/>
    <w:multiLevelType w:val="singleLevel"/>
    <w:tmpl w:val="6FA48207"/>
    <w:lvl w:ilvl="0" w:tentative="0">
      <w:start w:val="1"/>
      <w:numFmt w:val="decimalEnclosedCircleChinese"/>
      <w:suff w:val="nothing"/>
      <w:lvlText w:val="%1　"/>
      <w:lvlJc w:val="left"/>
      <w:pPr>
        <w:ind w:left="0" w:firstLine="400"/>
      </w:pPr>
      <w:rPr>
        <w:rFonts w:hint="eastAsia"/>
      </w:rPr>
    </w:lvl>
  </w:abstractNum>
  <w:abstractNum w:abstractNumId="12">
    <w:nsid w:val="741F26A6"/>
    <w:multiLevelType w:val="singleLevel"/>
    <w:tmpl w:val="741F26A6"/>
    <w:lvl w:ilvl="0" w:tentative="0">
      <w:start w:val="1"/>
      <w:numFmt w:val="decimal"/>
      <w:lvlText w:val="%1."/>
      <w:lvlJc w:val="left"/>
      <w:pPr>
        <w:ind w:left="425" w:hanging="425"/>
      </w:pPr>
      <w:rPr>
        <w:rFonts w:hint="default"/>
      </w:rPr>
    </w:lvl>
  </w:abstractNum>
  <w:abstractNum w:abstractNumId="13">
    <w:nsid w:val="7A8FADBD"/>
    <w:multiLevelType w:val="singleLevel"/>
    <w:tmpl w:val="7A8FADBD"/>
    <w:lvl w:ilvl="0" w:tentative="0">
      <w:start w:val="1"/>
      <w:numFmt w:val="upperLetter"/>
      <w:lvlText w:val="%1."/>
      <w:lvlJc w:val="left"/>
      <w:pPr>
        <w:ind w:left="425" w:hanging="425"/>
      </w:pPr>
      <w:rPr>
        <w:rFonts w:hint="default"/>
      </w:rPr>
    </w:lvl>
  </w:abstractNum>
  <w:num w:numId="1">
    <w:abstractNumId w:val="12"/>
  </w:num>
  <w:num w:numId="2">
    <w:abstractNumId w:val="8"/>
  </w:num>
  <w:num w:numId="3">
    <w:abstractNumId w:val="4"/>
  </w:num>
  <w:num w:numId="4">
    <w:abstractNumId w:val="7"/>
  </w:num>
  <w:num w:numId="5">
    <w:abstractNumId w:val="10"/>
  </w:num>
  <w:num w:numId="6">
    <w:abstractNumId w:val="6"/>
  </w:num>
  <w:num w:numId="7">
    <w:abstractNumId w:val="1"/>
  </w:num>
  <w:num w:numId="8">
    <w:abstractNumId w:val="2"/>
  </w:num>
  <w:num w:numId="9">
    <w:abstractNumId w:val="3"/>
  </w:num>
  <w:num w:numId="10">
    <w:abstractNumId w:val="13"/>
  </w:num>
  <w:num w:numId="11">
    <w:abstractNumId w:val="0"/>
  </w:num>
  <w:num w:numId="12">
    <w:abstractNumId w:val="9"/>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A63604"/>
    <w:rsid w:val="0E885F59"/>
    <w:rsid w:val="14507177"/>
    <w:rsid w:val="1F463D3D"/>
    <w:rsid w:val="3E920A9B"/>
    <w:rsid w:val="552C15B0"/>
    <w:rsid w:val="56CA56C3"/>
    <w:rsid w:val="5F506981"/>
    <w:rsid w:val="5FA63604"/>
    <w:rsid w:val="602C2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rPr>
      <w:rFonts w:ascii="Times New Roman" w:hAnsi="Times New Roman" w:cs="Times New Roman"/>
      <w:sz w:val="21"/>
      <w:szCs w:val="24"/>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sz w:val="21"/>
      <w:szCs w:val="21"/>
    </w:rPr>
  </w:style>
  <w:style w:type="character" w:styleId="7">
    <w:name w:val="annotation reference"/>
    <w:qFormat/>
    <w:uiPriority w:val="0"/>
    <w:rPr>
      <w:sz w:val="21"/>
      <w:szCs w:val="21"/>
    </w:rPr>
  </w:style>
  <w:style w:type="paragraph" w:customStyle="1" w:styleId="8">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11780</Words>
  <Characters>12274</Characters>
  <Lines>0</Lines>
  <Paragraphs>0</Paragraphs>
  <TotalTime>0</TotalTime>
  <ScaleCrop>false</ScaleCrop>
  <LinksUpToDate>false</LinksUpToDate>
  <CharactersWithSpaces>12343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2026-08-26T03:21:00Z</dcterms:created>
  <dc:creator>zcs</dc:creator>
  <cp:lastModifiedBy>zcs</cp:lastModifiedBy>
  <dcterms:modified xsi:type="dcterms:W3CDTF">2026-09-04T10:55:19Z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5BB4006CD8E44E728F87DFEB424A75B3_11</vt:lpwstr>
  </property>
  <property fmtid="{D5CDD505-2E9C-101B-9397-08002B2CF9AE}" pid="4" name="KSOTemplateDocerSaveRecord">
    <vt:lpwstr>eyJoZGlkIjoiMjk2ZGRkNzhiMGFmNGE4MDgzMDA2M2EwOTczMmY3ZDkiLCJ1c2VySWQiOiI3MDQ1NDIzNDIifQ==</vt:lpwstr>
  </property>
</Properties>
</file>