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0F1C4">
      <w:pPr>
        <w:jc w:val="center"/>
        <w:rPr>
          <w:rFonts w:hint="eastAsia" w:ascii="宋体" w:hAnsi="宋体"/>
          <w:b/>
          <w:bCs/>
          <w:sz w:val="44"/>
          <w:szCs w:val="44"/>
          <w:lang w:val="en-US" w:eastAsia="zh-CN"/>
        </w:rPr>
      </w:pPr>
      <w:r>
        <w:rPr>
          <w:rFonts w:ascii="宋体" w:hAnsi="宋体"/>
          <w:b/>
          <w:bCs/>
          <w:sz w:val="44"/>
          <w:szCs w:val="44"/>
        </w:rPr>
        <w:t>季华实验</w:t>
      </w:r>
      <w:r>
        <w:rPr>
          <w:rFonts w:hint="eastAsia" w:ascii="宋体" w:hAnsi="宋体"/>
          <w:b/>
          <w:bCs/>
          <w:sz w:val="44"/>
          <w:szCs w:val="44"/>
          <w:lang w:val="en-US" w:eastAsia="zh-CN"/>
        </w:rPr>
        <w:t>室采购激光等离子开封机项目采购需求</w:t>
      </w:r>
    </w:p>
    <w:p w14:paraId="60F58749">
      <w:pPr>
        <w:rPr>
          <w:rFonts w:hint="eastAsia" w:ascii="宋体" w:hAnsi="宋体"/>
          <w:sz w:val="24"/>
          <w:szCs w:val="24"/>
          <w:lang w:val="en-US" w:eastAsia="zh-CN"/>
        </w:rPr>
      </w:pPr>
    </w:p>
    <w:p w14:paraId="3CF2D252">
      <w:pPr>
        <w:pStyle w:val="7"/>
        <w:adjustRightInd w:val="0"/>
        <w:snapToGrid w:val="0"/>
        <w:spacing w:line="360" w:lineRule="auto"/>
        <w:jc w:val="both"/>
        <w:rPr>
          <w:rFonts w:hint="default" w:ascii="宋体" w:hAnsi="宋体"/>
          <w:sz w:val="24"/>
          <w:szCs w:val="24"/>
        </w:rPr>
      </w:pPr>
      <w:r>
        <w:rPr>
          <w:rFonts w:hint="eastAsia" w:ascii="宋体" w:hAnsi="宋体"/>
          <w:b/>
          <w:sz w:val="24"/>
          <w:szCs w:val="24"/>
          <w:lang w:val="en-US" w:eastAsia="zh-CN"/>
        </w:rPr>
        <w:t>1、</w:t>
      </w:r>
      <w:r>
        <w:rPr>
          <w:rFonts w:ascii="宋体" w:hAnsi="宋体"/>
          <w:b/>
          <w:sz w:val="24"/>
          <w:szCs w:val="24"/>
        </w:rPr>
        <w:t>项目基本概况：</w:t>
      </w:r>
    </w:p>
    <w:p w14:paraId="000F0B46">
      <w:pPr>
        <w:rPr>
          <w:rFonts w:hint="eastAsia" w:ascii="宋体" w:hAnsi="宋体" w:cs="Courier New"/>
          <w:color w:val="000000"/>
          <w:sz w:val="24"/>
        </w:rPr>
      </w:pPr>
      <w:r>
        <w:rPr>
          <w:rFonts w:hint="eastAsia" w:ascii="宋体" w:hAnsi="宋体" w:cs="Courier New"/>
          <w:color w:val="000000"/>
          <w:sz w:val="24"/>
        </w:rPr>
        <w:t>本次招标为季华实验室所需设备。投标人应根据采购人所提出的设备技术规格、产品及质量要求，综合考虑设备的适应性，选择具有最佳性能价格比的设备前来投标。</w:t>
      </w:r>
    </w:p>
    <w:p w14:paraId="3F2469F0">
      <w:pPr>
        <w:rPr>
          <w:rFonts w:hint="eastAsia" w:ascii="宋体" w:hAnsi="宋体" w:cs="Courier New"/>
          <w:color w:val="000000"/>
          <w:sz w:val="24"/>
        </w:rPr>
      </w:pPr>
    </w:p>
    <w:p w14:paraId="520EC3BD">
      <w:pPr>
        <w:pStyle w:val="7"/>
        <w:adjustRightInd w:val="0"/>
        <w:snapToGrid w:val="0"/>
        <w:spacing w:line="360" w:lineRule="auto"/>
        <w:jc w:val="both"/>
        <w:rPr>
          <w:rFonts w:hint="default" w:ascii="宋体" w:hAnsi="宋体"/>
          <w:sz w:val="24"/>
          <w:szCs w:val="24"/>
        </w:rPr>
      </w:pPr>
      <w:r>
        <w:rPr>
          <w:rFonts w:hint="eastAsia" w:ascii="宋体" w:hAnsi="宋体"/>
          <w:b/>
          <w:sz w:val="24"/>
          <w:szCs w:val="24"/>
          <w:lang w:val="en-US" w:eastAsia="zh-CN"/>
        </w:rPr>
        <w:t>2、</w:t>
      </w:r>
      <w:r>
        <w:rPr>
          <w:rFonts w:ascii="宋体" w:hAnsi="宋体"/>
          <w:b/>
          <w:sz w:val="24"/>
          <w:szCs w:val="24"/>
        </w:rPr>
        <w:t>项目一览表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2"/>
        <w:gridCol w:w="1309"/>
        <w:gridCol w:w="1636"/>
        <w:gridCol w:w="993"/>
        <w:gridCol w:w="1229"/>
        <w:gridCol w:w="1492"/>
        <w:gridCol w:w="991"/>
      </w:tblGrid>
      <w:tr w14:paraId="07395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noWrap w:val="0"/>
            <w:vAlign w:val="top"/>
          </w:tcPr>
          <w:p w14:paraId="71B19D2C">
            <w:pPr>
              <w:pStyle w:val="7"/>
              <w:adjustRightInd w:val="0"/>
              <w:snapToGrid w:val="0"/>
              <w:rPr>
                <w:rFonts w:hint="default" w:ascii="宋体" w:hAnsi="宋体"/>
                <w:sz w:val="24"/>
                <w:szCs w:val="24"/>
              </w:rPr>
            </w:pPr>
            <w:r>
              <w:rPr>
                <w:rFonts w:ascii="宋体" w:hAnsi="宋体"/>
                <w:sz w:val="24"/>
                <w:szCs w:val="24"/>
              </w:rPr>
              <w:t>品目号</w:t>
            </w:r>
          </w:p>
        </w:tc>
        <w:tc>
          <w:tcPr>
            <w:tcW w:w="1368" w:type="dxa"/>
            <w:noWrap w:val="0"/>
            <w:vAlign w:val="top"/>
          </w:tcPr>
          <w:p w14:paraId="753405C5">
            <w:pPr>
              <w:pStyle w:val="7"/>
              <w:adjustRightInd w:val="0"/>
              <w:snapToGrid w:val="0"/>
              <w:rPr>
                <w:rFonts w:hint="default" w:ascii="宋体" w:hAnsi="宋体"/>
                <w:sz w:val="24"/>
                <w:szCs w:val="24"/>
              </w:rPr>
            </w:pPr>
            <w:r>
              <w:rPr>
                <w:rFonts w:ascii="宋体" w:hAnsi="宋体"/>
                <w:sz w:val="24"/>
                <w:szCs w:val="24"/>
              </w:rPr>
              <w:t>品目名称</w:t>
            </w:r>
          </w:p>
        </w:tc>
        <w:tc>
          <w:tcPr>
            <w:tcW w:w="2052" w:type="dxa"/>
            <w:noWrap w:val="0"/>
            <w:vAlign w:val="top"/>
          </w:tcPr>
          <w:p w14:paraId="481EF0CF">
            <w:pPr>
              <w:pStyle w:val="7"/>
              <w:adjustRightInd w:val="0"/>
              <w:snapToGrid w:val="0"/>
              <w:rPr>
                <w:rFonts w:hint="default" w:ascii="宋体" w:hAnsi="宋体"/>
                <w:sz w:val="24"/>
                <w:szCs w:val="24"/>
              </w:rPr>
            </w:pPr>
            <w:r>
              <w:rPr>
                <w:rFonts w:ascii="宋体" w:hAnsi="宋体"/>
                <w:sz w:val="24"/>
                <w:szCs w:val="24"/>
              </w:rPr>
              <w:t>采购标的</w:t>
            </w:r>
          </w:p>
        </w:tc>
        <w:tc>
          <w:tcPr>
            <w:tcW w:w="1098" w:type="dxa"/>
            <w:noWrap w:val="0"/>
            <w:vAlign w:val="top"/>
          </w:tcPr>
          <w:p w14:paraId="62BA55DF">
            <w:pPr>
              <w:pStyle w:val="7"/>
              <w:adjustRightInd w:val="0"/>
              <w:snapToGrid w:val="0"/>
              <w:rPr>
                <w:rFonts w:hint="default" w:ascii="宋体" w:hAnsi="宋体"/>
                <w:sz w:val="24"/>
                <w:szCs w:val="24"/>
              </w:rPr>
            </w:pPr>
            <w:r>
              <w:rPr>
                <w:rFonts w:ascii="宋体" w:hAnsi="宋体"/>
                <w:sz w:val="24"/>
                <w:szCs w:val="24"/>
              </w:rPr>
              <w:t>数量（单位）</w:t>
            </w:r>
          </w:p>
        </w:tc>
        <w:tc>
          <w:tcPr>
            <w:tcW w:w="1417" w:type="dxa"/>
            <w:noWrap w:val="0"/>
            <w:vAlign w:val="top"/>
          </w:tcPr>
          <w:p w14:paraId="031867C4">
            <w:pPr>
              <w:pStyle w:val="7"/>
              <w:adjustRightInd w:val="0"/>
              <w:snapToGrid w:val="0"/>
              <w:rPr>
                <w:rFonts w:hint="default" w:ascii="宋体" w:hAnsi="宋体"/>
                <w:sz w:val="24"/>
                <w:szCs w:val="24"/>
              </w:rPr>
            </w:pPr>
            <w:r>
              <w:rPr>
                <w:rFonts w:ascii="宋体" w:hAnsi="宋体"/>
                <w:sz w:val="24"/>
                <w:szCs w:val="24"/>
              </w:rPr>
              <w:t>技术规格、参数及要求</w:t>
            </w:r>
          </w:p>
        </w:tc>
        <w:tc>
          <w:tcPr>
            <w:tcW w:w="1656" w:type="dxa"/>
            <w:noWrap w:val="0"/>
            <w:vAlign w:val="top"/>
          </w:tcPr>
          <w:p w14:paraId="442B1915">
            <w:pPr>
              <w:pStyle w:val="7"/>
              <w:adjustRightInd w:val="0"/>
              <w:snapToGrid w:val="0"/>
              <w:rPr>
                <w:rFonts w:hint="default" w:ascii="宋体" w:hAnsi="宋体"/>
                <w:sz w:val="24"/>
                <w:szCs w:val="24"/>
              </w:rPr>
            </w:pPr>
            <w:r>
              <w:rPr>
                <w:rFonts w:ascii="宋体" w:hAnsi="宋体"/>
                <w:sz w:val="24"/>
                <w:szCs w:val="24"/>
              </w:rPr>
              <w:t>品目预算(元)</w:t>
            </w:r>
          </w:p>
        </w:tc>
        <w:tc>
          <w:tcPr>
            <w:tcW w:w="1179" w:type="dxa"/>
            <w:noWrap w:val="0"/>
            <w:vAlign w:val="top"/>
          </w:tcPr>
          <w:p w14:paraId="3BCAE324">
            <w:pPr>
              <w:pStyle w:val="7"/>
              <w:adjustRightInd w:val="0"/>
              <w:snapToGrid w:val="0"/>
              <w:rPr>
                <w:rFonts w:hint="default" w:ascii="宋体" w:hAnsi="宋体"/>
                <w:sz w:val="24"/>
                <w:szCs w:val="24"/>
              </w:rPr>
            </w:pPr>
            <w:r>
              <w:rPr>
                <w:rFonts w:ascii="宋体" w:hAnsi="宋体"/>
                <w:sz w:val="24"/>
                <w:szCs w:val="24"/>
              </w:rPr>
              <w:t>是否允许进口产品</w:t>
            </w:r>
          </w:p>
        </w:tc>
      </w:tr>
      <w:tr w14:paraId="7FE3D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noWrap w:val="0"/>
            <w:vAlign w:val="top"/>
          </w:tcPr>
          <w:p w14:paraId="1390975F">
            <w:pPr>
              <w:pStyle w:val="7"/>
              <w:adjustRightInd w:val="0"/>
              <w:snapToGrid w:val="0"/>
              <w:rPr>
                <w:rFonts w:hint="default" w:ascii="宋体" w:hAnsi="宋体"/>
                <w:sz w:val="24"/>
                <w:szCs w:val="24"/>
              </w:rPr>
            </w:pPr>
            <w:r>
              <w:rPr>
                <w:rFonts w:ascii="宋体" w:hAnsi="宋体"/>
                <w:sz w:val="24"/>
                <w:szCs w:val="24"/>
              </w:rPr>
              <w:t>1-1</w:t>
            </w:r>
          </w:p>
        </w:tc>
        <w:tc>
          <w:tcPr>
            <w:tcW w:w="1368" w:type="dxa"/>
            <w:noWrap w:val="0"/>
            <w:vAlign w:val="top"/>
          </w:tcPr>
          <w:p w14:paraId="66B05E50">
            <w:pPr>
              <w:pStyle w:val="7"/>
              <w:rPr>
                <w:rFonts w:hint="default" w:ascii="宋体" w:hAnsi="宋体"/>
                <w:sz w:val="24"/>
                <w:szCs w:val="24"/>
              </w:rPr>
            </w:pPr>
            <w:r>
              <w:rPr>
                <w:rFonts w:hint="eastAsia"/>
                <w:lang w:eastAsia="zh-CN"/>
              </w:rPr>
              <w:t>A02100309  激光仪器</w:t>
            </w:r>
          </w:p>
        </w:tc>
        <w:tc>
          <w:tcPr>
            <w:tcW w:w="2052" w:type="dxa"/>
            <w:noWrap w:val="0"/>
            <w:vAlign w:val="top"/>
          </w:tcPr>
          <w:p w14:paraId="7A6946B9">
            <w:pPr>
              <w:pStyle w:val="7"/>
              <w:rPr>
                <w:rFonts w:hint="default" w:ascii="宋体" w:hAnsi="宋体"/>
                <w:sz w:val="24"/>
                <w:szCs w:val="24"/>
              </w:rPr>
            </w:pPr>
            <w:r>
              <w:rPr>
                <w:lang w:eastAsia="zh-CN"/>
              </w:rPr>
              <w:t>激光等离子开封机</w:t>
            </w:r>
          </w:p>
        </w:tc>
        <w:tc>
          <w:tcPr>
            <w:tcW w:w="1098" w:type="dxa"/>
            <w:noWrap w:val="0"/>
            <w:vAlign w:val="top"/>
          </w:tcPr>
          <w:p w14:paraId="7C63A9D7">
            <w:pPr>
              <w:pStyle w:val="7"/>
              <w:rPr>
                <w:rFonts w:hint="default" w:ascii="宋体" w:hAnsi="宋体"/>
                <w:sz w:val="24"/>
                <w:szCs w:val="24"/>
              </w:rPr>
            </w:pPr>
            <w:r>
              <w:t>1(套)</w:t>
            </w:r>
          </w:p>
        </w:tc>
        <w:tc>
          <w:tcPr>
            <w:tcW w:w="1417" w:type="dxa"/>
            <w:noWrap w:val="0"/>
            <w:vAlign w:val="top"/>
          </w:tcPr>
          <w:p w14:paraId="5878BEDD">
            <w:pPr>
              <w:pStyle w:val="7"/>
              <w:rPr>
                <w:rFonts w:hint="default" w:ascii="宋体" w:hAnsi="宋体"/>
                <w:sz w:val="24"/>
                <w:szCs w:val="24"/>
              </w:rPr>
            </w:pPr>
            <w:r>
              <w:t>详见第二章</w:t>
            </w:r>
          </w:p>
        </w:tc>
        <w:tc>
          <w:tcPr>
            <w:tcW w:w="1656" w:type="dxa"/>
            <w:noWrap w:val="0"/>
            <w:vAlign w:val="top"/>
          </w:tcPr>
          <w:p w14:paraId="3607CBE0">
            <w:pPr>
              <w:pStyle w:val="7"/>
              <w:rPr>
                <w:rFonts w:hint="default" w:ascii="宋体" w:hAnsi="宋体" w:eastAsia="宋体"/>
                <w:sz w:val="24"/>
                <w:szCs w:val="24"/>
                <w:lang w:val="en-US" w:eastAsia="zh-CN"/>
              </w:rPr>
            </w:pPr>
            <w:r>
              <w:rPr>
                <w:rFonts w:hint="eastAsia"/>
                <w:lang w:val="en-US" w:eastAsia="zh-CN"/>
              </w:rPr>
              <w:t>1,600,</w:t>
            </w:r>
            <w:bookmarkStart w:id="1" w:name="_GoBack"/>
            <w:bookmarkEnd w:id="1"/>
            <w:r>
              <w:rPr>
                <w:rFonts w:hint="eastAsia"/>
                <w:lang w:val="en-US" w:eastAsia="zh-CN"/>
              </w:rPr>
              <w:t>000</w:t>
            </w:r>
          </w:p>
        </w:tc>
        <w:tc>
          <w:tcPr>
            <w:tcW w:w="1179" w:type="dxa"/>
            <w:noWrap w:val="0"/>
            <w:vAlign w:val="top"/>
          </w:tcPr>
          <w:p w14:paraId="192B4C4E">
            <w:pPr>
              <w:pStyle w:val="7"/>
              <w:rPr>
                <w:rFonts w:hint="default" w:ascii="宋体" w:hAnsi="宋体"/>
                <w:sz w:val="24"/>
                <w:szCs w:val="24"/>
                <w:lang w:eastAsia="zh-CN"/>
              </w:rPr>
            </w:pPr>
            <w:r>
              <w:rPr>
                <w:rFonts w:hint="eastAsia"/>
                <w:lang w:val="en-US" w:eastAsia="zh-CN"/>
              </w:rPr>
              <w:t>否</w:t>
            </w:r>
          </w:p>
        </w:tc>
      </w:tr>
    </w:tbl>
    <w:p w14:paraId="5BB2ADDC">
      <w:pPr>
        <w:rPr>
          <w:rFonts w:hint="default" w:ascii="宋体" w:hAnsi="宋体" w:cs="Courier New"/>
          <w:color w:val="000000"/>
          <w:sz w:val="24"/>
          <w:lang w:val="en-US" w:eastAsia="zh-CN"/>
        </w:rPr>
      </w:pPr>
    </w:p>
    <w:p w14:paraId="545DA802">
      <w:pPr>
        <w:pStyle w:val="7"/>
        <w:adjustRightInd w:val="0"/>
        <w:snapToGrid w:val="0"/>
        <w:spacing w:line="360" w:lineRule="auto"/>
        <w:ind w:left="0" w:leftChars="0" w:firstLine="0" w:firstLineChars="0"/>
        <w:rPr>
          <w:rFonts w:hint="default" w:ascii="宋体" w:hAnsi="宋体"/>
          <w:b/>
          <w:sz w:val="24"/>
          <w:szCs w:val="24"/>
        </w:rPr>
      </w:pPr>
      <w:r>
        <w:rPr>
          <w:rFonts w:hint="eastAsia" w:ascii="宋体" w:hAnsi="宋体"/>
          <w:b/>
          <w:sz w:val="24"/>
          <w:szCs w:val="24"/>
          <w:lang w:val="en-US" w:eastAsia="zh-CN"/>
        </w:rPr>
        <w:t>3、</w:t>
      </w:r>
      <w:r>
        <w:rPr>
          <w:rFonts w:ascii="宋体" w:hAnsi="宋体"/>
          <w:b/>
          <w:sz w:val="24"/>
          <w:szCs w:val="24"/>
        </w:rPr>
        <w:t>技术参数</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7"/>
        <w:gridCol w:w="647"/>
        <w:gridCol w:w="6912"/>
      </w:tblGrid>
      <w:tr w14:paraId="58EEBE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5540463D">
            <w:pPr>
              <w:pStyle w:val="7"/>
              <w:spacing w:line="360" w:lineRule="auto"/>
              <w:rPr>
                <w:rFonts w:ascii="宋体" w:hAnsi="宋体" w:cs="宋体"/>
                <w:sz w:val="21"/>
                <w:szCs w:val="21"/>
              </w:rPr>
            </w:pPr>
            <w:r>
              <w:rPr>
                <w:rFonts w:ascii="宋体" w:hAnsi="宋体" w:cs="宋体"/>
                <w:sz w:val="21"/>
                <w:szCs w:val="21"/>
              </w:rPr>
              <w:t>参数性质</w:t>
            </w:r>
          </w:p>
        </w:tc>
        <w:tc>
          <w:tcPr>
            <w:tcW w:w="647" w:type="dxa"/>
            <w:noWrap w:val="0"/>
            <w:vAlign w:val="top"/>
          </w:tcPr>
          <w:p w14:paraId="3C1A27D0">
            <w:pPr>
              <w:pStyle w:val="7"/>
              <w:spacing w:line="360" w:lineRule="auto"/>
              <w:rPr>
                <w:rFonts w:ascii="宋体" w:hAnsi="宋体" w:cs="宋体"/>
                <w:sz w:val="21"/>
                <w:szCs w:val="21"/>
              </w:rPr>
            </w:pPr>
            <w:r>
              <w:rPr>
                <w:rFonts w:ascii="宋体" w:hAnsi="宋体" w:cs="宋体"/>
                <w:sz w:val="21"/>
                <w:szCs w:val="21"/>
              </w:rPr>
              <w:t>序号</w:t>
            </w:r>
          </w:p>
        </w:tc>
        <w:tc>
          <w:tcPr>
            <w:tcW w:w="6912" w:type="dxa"/>
            <w:noWrap w:val="0"/>
            <w:vAlign w:val="top"/>
          </w:tcPr>
          <w:p w14:paraId="0B070828">
            <w:pPr>
              <w:pStyle w:val="7"/>
              <w:spacing w:line="360" w:lineRule="auto"/>
              <w:rPr>
                <w:rFonts w:ascii="宋体" w:hAnsi="宋体" w:cs="宋体"/>
                <w:sz w:val="21"/>
                <w:szCs w:val="21"/>
              </w:rPr>
            </w:pPr>
            <w:r>
              <w:rPr>
                <w:rFonts w:ascii="宋体" w:hAnsi="宋体" w:cs="宋体"/>
                <w:sz w:val="21"/>
                <w:szCs w:val="21"/>
              </w:rPr>
              <w:t>具体技术(参数)要求</w:t>
            </w:r>
          </w:p>
        </w:tc>
      </w:tr>
      <w:tr w14:paraId="38AF2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533F0164">
            <w:pPr>
              <w:spacing w:line="360" w:lineRule="auto"/>
              <w:rPr>
                <w:rFonts w:hint="eastAsia" w:ascii="宋体" w:hAnsi="宋体" w:cs="宋体"/>
                <w:szCs w:val="21"/>
              </w:rPr>
            </w:pPr>
          </w:p>
        </w:tc>
        <w:tc>
          <w:tcPr>
            <w:tcW w:w="647" w:type="dxa"/>
            <w:noWrap w:val="0"/>
            <w:vAlign w:val="top"/>
          </w:tcPr>
          <w:p w14:paraId="44BE4EA1">
            <w:pPr>
              <w:pStyle w:val="7"/>
              <w:spacing w:line="360" w:lineRule="auto"/>
              <w:rPr>
                <w:rFonts w:ascii="宋体" w:hAnsi="宋体" w:cs="宋体"/>
                <w:sz w:val="21"/>
                <w:szCs w:val="21"/>
              </w:rPr>
            </w:pPr>
            <w:r>
              <w:rPr>
                <w:rFonts w:ascii="宋体" w:hAnsi="宋体" w:cs="宋体"/>
                <w:sz w:val="21"/>
                <w:szCs w:val="21"/>
              </w:rPr>
              <w:t>1</w:t>
            </w:r>
          </w:p>
        </w:tc>
        <w:tc>
          <w:tcPr>
            <w:tcW w:w="6912" w:type="dxa"/>
            <w:noWrap w:val="0"/>
            <w:vAlign w:val="top"/>
          </w:tcPr>
          <w:p w14:paraId="08F062D2">
            <w:pPr>
              <w:spacing w:line="360" w:lineRule="auto"/>
              <w:rPr>
                <w:rFonts w:hint="eastAsia" w:ascii="宋体" w:hAnsi="宋体" w:cs="宋体"/>
                <w:szCs w:val="21"/>
              </w:rPr>
            </w:pPr>
            <w:r>
              <w:rPr>
                <w:rFonts w:hint="eastAsia" w:ascii="宋体" w:hAnsi="宋体" w:cs="宋体"/>
                <w:szCs w:val="21"/>
              </w:rPr>
              <w:t>1、设备含有IR光纤激光器，支持开封芯片前期减薄或切割。</w:t>
            </w:r>
          </w:p>
          <w:p w14:paraId="5E89861C">
            <w:pPr>
              <w:spacing w:line="360" w:lineRule="auto"/>
              <w:rPr>
                <w:rFonts w:hint="eastAsia" w:ascii="宋体" w:hAnsi="宋体" w:cs="宋体"/>
                <w:szCs w:val="21"/>
              </w:rPr>
            </w:pPr>
            <w:r>
              <w:rPr>
                <w:rFonts w:hint="eastAsia" w:ascii="宋体" w:hAnsi="宋体" w:cs="宋体"/>
                <w:b/>
                <w:bCs/>
                <w:kern w:val="0"/>
                <w:szCs w:val="21"/>
              </w:rPr>
              <w:t>▲</w:t>
            </w:r>
            <w:r>
              <w:rPr>
                <w:rFonts w:hint="eastAsia" w:ascii="宋体" w:hAnsi="宋体" w:cs="宋体"/>
                <w:szCs w:val="21"/>
              </w:rPr>
              <w:t>（1）功率：≥20瓦；</w:t>
            </w:r>
          </w:p>
          <w:p w14:paraId="06176BB8">
            <w:pPr>
              <w:spacing w:line="360" w:lineRule="auto"/>
              <w:rPr>
                <w:rFonts w:hint="eastAsia" w:ascii="宋体" w:hAnsi="宋体" w:cs="宋体"/>
                <w:szCs w:val="21"/>
              </w:rPr>
            </w:pPr>
            <w:r>
              <w:rPr>
                <w:rFonts w:hint="eastAsia" w:ascii="宋体" w:hAnsi="宋体" w:cs="宋体"/>
                <w:szCs w:val="21"/>
              </w:rPr>
              <w:t>（2）激光波长：1064nm；</w:t>
            </w:r>
          </w:p>
          <w:p w14:paraId="39FE2289">
            <w:pPr>
              <w:spacing w:line="360" w:lineRule="auto"/>
              <w:rPr>
                <w:rFonts w:hint="eastAsia" w:ascii="宋体" w:hAnsi="宋体" w:cs="宋体"/>
                <w:szCs w:val="21"/>
              </w:rPr>
            </w:pPr>
            <w:r>
              <w:rPr>
                <w:rFonts w:hint="eastAsia" w:ascii="宋体" w:hAnsi="宋体" w:cs="宋体"/>
                <w:szCs w:val="21"/>
              </w:rPr>
              <w:t>（3）开封速度：至少覆盖1-100mm/s；</w:t>
            </w:r>
          </w:p>
          <w:p w14:paraId="74AD2392">
            <w:pPr>
              <w:spacing w:line="360" w:lineRule="auto"/>
              <w:rPr>
                <w:rFonts w:hint="eastAsia" w:ascii="宋体" w:hAnsi="宋体" w:cs="宋体"/>
                <w:szCs w:val="21"/>
              </w:rPr>
            </w:pPr>
            <w:r>
              <w:rPr>
                <w:rFonts w:hint="eastAsia" w:ascii="宋体" w:hAnsi="宋体" w:cs="宋体"/>
                <w:szCs w:val="21"/>
              </w:rPr>
              <w:t>（4）同光同轴分辨率：≤0.01mm；</w:t>
            </w:r>
          </w:p>
          <w:p w14:paraId="76F3708E">
            <w:pPr>
              <w:spacing w:line="360" w:lineRule="auto"/>
              <w:rPr>
                <w:rFonts w:hint="eastAsia" w:ascii="宋体" w:hAnsi="宋体" w:cs="宋体"/>
                <w:szCs w:val="21"/>
              </w:rPr>
            </w:pPr>
            <w:r>
              <w:rPr>
                <w:rFonts w:hint="eastAsia" w:ascii="宋体" w:hAnsi="宋体" w:cs="宋体"/>
                <w:szCs w:val="21"/>
              </w:rPr>
              <w:t>（5）激光器寿命：≥10万小时；</w:t>
            </w:r>
          </w:p>
          <w:p w14:paraId="4CFB72CC">
            <w:pPr>
              <w:spacing w:line="360" w:lineRule="auto"/>
              <w:rPr>
                <w:rFonts w:hint="eastAsia" w:ascii="宋体" w:hAnsi="宋体" w:cs="宋体"/>
                <w:szCs w:val="21"/>
              </w:rPr>
            </w:pPr>
            <w:r>
              <w:rPr>
                <w:rFonts w:hint="eastAsia" w:ascii="宋体" w:hAnsi="宋体" w:cs="宋体"/>
                <w:szCs w:val="21"/>
              </w:rPr>
              <w:t>（6）高精度CCD视觉系统，同光同轴，像素：≥1200万，光源：LED环形灯，可调节光亮度；</w:t>
            </w:r>
          </w:p>
        </w:tc>
      </w:tr>
      <w:tr w14:paraId="3D8549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0AC5C2DA">
            <w:pPr>
              <w:spacing w:line="360" w:lineRule="auto"/>
              <w:rPr>
                <w:rFonts w:hint="eastAsia" w:ascii="宋体" w:hAnsi="宋体" w:cs="宋体"/>
                <w:szCs w:val="21"/>
              </w:rPr>
            </w:pPr>
          </w:p>
        </w:tc>
        <w:tc>
          <w:tcPr>
            <w:tcW w:w="647" w:type="dxa"/>
            <w:noWrap w:val="0"/>
            <w:vAlign w:val="top"/>
          </w:tcPr>
          <w:p w14:paraId="58A1DC37">
            <w:pPr>
              <w:pStyle w:val="7"/>
              <w:spacing w:line="360" w:lineRule="auto"/>
              <w:rPr>
                <w:rFonts w:ascii="宋体" w:hAnsi="宋体" w:cs="宋体"/>
                <w:sz w:val="21"/>
                <w:szCs w:val="21"/>
                <w:lang w:eastAsia="zh-CN"/>
              </w:rPr>
            </w:pPr>
            <w:r>
              <w:rPr>
                <w:rFonts w:ascii="宋体" w:hAnsi="宋体" w:cs="宋体"/>
                <w:sz w:val="21"/>
                <w:szCs w:val="21"/>
                <w:lang w:eastAsia="zh-CN"/>
              </w:rPr>
              <w:t>2</w:t>
            </w:r>
          </w:p>
        </w:tc>
        <w:tc>
          <w:tcPr>
            <w:tcW w:w="6912" w:type="dxa"/>
            <w:noWrap w:val="0"/>
            <w:vAlign w:val="top"/>
          </w:tcPr>
          <w:p w14:paraId="76088199">
            <w:pPr>
              <w:spacing w:line="360" w:lineRule="auto"/>
              <w:rPr>
                <w:rFonts w:hint="eastAsia" w:ascii="宋体" w:hAnsi="宋体" w:cs="宋体"/>
                <w:szCs w:val="21"/>
              </w:rPr>
            </w:pPr>
            <w:r>
              <w:rPr>
                <w:rFonts w:hint="eastAsia" w:ascii="宋体" w:hAnsi="宋体" w:cs="宋体"/>
                <w:szCs w:val="21"/>
              </w:rPr>
              <w:t>2、MIP微波诱导等离子</w:t>
            </w:r>
          </w:p>
          <w:p w14:paraId="480D01F2">
            <w:pPr>
              <w:spacing w:line="360" w:lineRule="auto"/>
              <w:rPr>
                <w:rFonts w:hint="eastAsia" w:ascii="宋体" w:hAnsi="宋体" w:cs="宋体"/>
                <w:b/>
                <w:bCs/>
                <w:szCs w:val="21"/>
              </w:rPr>
            </w:pPr>
            <w:bookmarkStart w:id="0" w:name="OLE_LINK1"/>
            <w:r>
              <w:rPr>
                <w:rFonts w:hint="eastAsia" w:ascii="宋体" w:hAnsi="宋体" w:cs="宋体"/>
                <w:b/>
                <w:bCs/>
                <w:kern w:val="0"/>
                <w:szCs w:val="21"/>
              </w:rPr>
              <w:t>▲</w:t>
            </w:r>
            <w:bookmarkEnd w:id="0"/>
            <w:r>
              <w:rPr>
                <w:rFonts w:hint="eastAsia" w:ascii="宋体" w:hAnsi="宋体" w:cs="宋体"/>
                <w:b/>
                <w:bCs/>
                <w:szCs w:val="21"/>
              </w:rPr>
              <w:t>（1）常温常压MIP等离子体；</w:t>
            </w:r>
          </w:p>
          <w:p w14:paraId="6344D1C8">
            <w:pPr>
              <w:spacing w:line="360" w:lineRule="auto"/>
              <w:rPr>
                <w:rFonts w:hint="eastAsia" w:ascii="宋体" w:hAnsi="宋体" w:cs="宋体"/>
                <w:szCs w:val="21"/>
              </w:rPr>
            </w:pPr>
            <w:r>
              <w:rPr>
                <w:rFonts w:hint="eastAsia" w:ascii="宋体" w:hAnsi="宋体" w:cs="宋体"/>
                <w:szCs w:val="21"/>
              </w:rPr>
              <w:t>（2）电源工作模式：脉冲式；</w:t>
            </w:r>
          </w:p>
          <w:p w14:paraId="147EC6D0">
            <w:pPr>
              <w:spacing w:line="360" w:lineRule="auto"/>
              <w:rPr>
                <w:rFonts w:hint="eastAsia" w:ascii="宋体" w:hAnsi="宋体" w:eastAsia="宋体" w:cs="宋体"/>
                <w:szCs w:val="21"/>
                <w:lang w:eastAsia="zh-CN"/>
              </w:rPr>
            </w:pPr>
            <w:r>
              <w:rPr>
                <w:rFonts w:hint="eastAsia" w:ascii="宋体" w:hAnsi="宋体" w:cs="宋体"/>
                <w:szCs w:val="21"/>
              </w:rPr>
              <w:t>（3）可用气体：氩气，氧气，不使用CF4；配置至少两种气体质量流量计</w:t>
            </w:r>
            <w:r>
              <w:rPr>
                <w:rFonts w:hint="eastAsia" w:ascii="宋体" w:hAnsi="宋体" w:cs="宋体"/>
                <w:szCs w:val="21"/>
                <w:lang w:eastAsia="zh-CN"/>
              </w:rPr>
              <w:t>；</w:t>
            </w:r>
          </w:p>
          <w:p w14:paraId="08CB40F7">
            <w:pPr>
              <w:spacing w:line="360" w:lineRule="auto"/>
              <w:rPr>
                <w:rFonts w:hint="eastAsia" w:ascii="宋体" w:hAnsi="宋体" w:cs="宋体"/>
                <w:szCs w:val="21"/>
              </w:rPr>
            </w:pPr>
            <w:r>
              <w:rPr>
                <w:rFonts w:hint="eastAsia" w:ascii="宋体" w:hAnsi="宋体" w:cs="宋体"/>
                <w:szCs w:val="21"/>
              </w:rPr>
              <w:t>（4）夹具</w:t>
            </w:r>
            <w:r>
              <w:rPr>
                <w:rFonts w:hint="eastAsia" w:ascii="宋体" w:hAnsi="宋体" w:eastAsia="宋体" w:cs="宋体"/>
                <w:sz w:val="21"/>
                <w:szCs w:val="21"/>
              </w:rPr>
              <w:t>适配样品尺寸范围</w:t>
            </w:r>
            <w:r>
              <w:rPr>
                <w:rFonts w:hint="eastAsia" w:ascii="宋体" w:hAnsi="宋体" w:cs="宋体"/>
                <w:szCs w:val="21"/>
              </w:rPr>
              <w:t>：2mm×2mm-80mm×80mm；</w:t>
            </w:r>
          </w:p>
        </w:tc>
      </w:tr>
      <w:tr w14:paraId="6E6593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23234A3A">
            <w:pPr>
              <w:spacing w:line="360" w:lineRule="auto"/>
              <w:rPr>
                <w:rFonts w:hint="eastAsia" w:ascii="宋体" w:hAnsi="宋体" w:cs="宋体"/>
                <w:szCs w:val="21"/>
              </w:rPr>
            </w:pPr>
          </w:p>
        </w:tc>
        <w:tc>
          <w:tcPr>
            <w:tcW w:w="647" w:type="dxa"/>
            <w:noWrap w:val="0"/>
            <w:vAlign w:val="top"/>
          </w:tcPr>
          <w:p w14:paraId="2E202275">
            <w:pPr>
              <w:pStyle w:val="7"/>
              <w:spacing w:line="360" w:lineRule="auto"/>
              <w:rPr>
                <w:rFonts w:ascii="宋体" w:hAnsi="宋体" w:cs="宋体"/>
                <w:sz w:val="21"/>
                <w:szCs w:val="21"/>
                <w:lang w:eastAsia="zh-CN"/>
              </w:rPr>
            </w:pPr>
            <w:r>
              <w:rPr>
                <w:rFonts w:ascii="宋体" w:hAnsi="宋体" w:cs="宋体"/>
                <w:sz w:val="21"/>
                <w:szCs w:val="21"/>
                <w:lang w:eastAsia="zh-CN"/>
              </w:rPr>
              <w:t>3</w:t>
            </w:r>
          </w:p>
        </w:tc>
        <w:tc>
          <w:tcPr>
            <w:tcW w:w="6912" w:type="dxa"/>
            <w:noWrap w:val="0"/>
            <w:vAlign w:val="top"/>
          </w:tcPr>
          <w:p w14:paraId="05FA6741">
            <w:pPr>
              <w:spacing w:line="360" w:lineRule="auto"/>
              <w:rPr>
                <w:rFonts w:hint="eastAsia" w:ascii="宋体" w:hAnsi="宋体" w:cs="宋体"/>
                <w:szCs w:val="21"/>
              </w:rPr>
            </w:pPr>
            <w:r>
              <w:rPr>
                <w:rFonts w:hint="eastAsia" w:ascii="宋体" w:hAnsi="宋体" w:cs="宋体"/>
                <w:szCs w:val="21"/>
              </w:rPr>
              <w:t>3、精密运动控制系统</w:t>
            </w:r>
          </w:p>
          <w:p w14:paraId="3CF5AB06">
            <w:pPr>
              <w:spacing w:line="360" w:lineRule="auto"/>
              <w:rPr>
                <w:rFonts w:hint="eastAsia" w:ascii="宋体" w:hAnsi="宋体" w:cs="宋体"/>
                <w:szCs w:val="21"/>
              </w:rPr>
            </w:pPr>
            <w:r>
              <w:rPr>
                <w:rFonts w:hint="eastAsia" w:ascii="宋体" w:hAnsi="宋体" w:cs="宋体"/>
                <w:szCs w:val="21"/>
              </w:rPr>
              <w:t>（1）X轴行程≥100mm，Y轴行程≥100mm，Z轴行程≥100mm；</w:t>
            </w:r>
          </w:p>
          <w:p w14:paraId="18055629">
            <w:pPr>
              <w:spacing w:line="360" w:lineRule="auto"/>
              <w:rPr>
                <w:rFonts w:hint="eastAsia" w:ascii="宋体" w:hAnsi="宋体" w:cs="宋体"/>
                <w:szCs w:val="21"/>
              </w:rPr>
            </w:pPr>
            <w:r>
              <w:rPr>
                <w:rFonts w:hint="eastAsia" w:ascii="宋体" w:hAnsi="宋体" w:cs="宋体"/>
                <w:b/>
                <w:bCs/>
                <w:kern w:val="0"/>
                <w:szCs w:val="21"/>
              </w:rPr>
              <w:t>▲</w:t>
            </w:r>
            <w:r>
              <w:rPr>
                <w:rFonts w:hint="eastAsia" w:ascii="宋体" w:hAnsi="宋体" w:cs="宋体"/>
                <w:b/>
                <w:bCs/>
                <w:szCs w:val="21"/>
              </w:rPr>
              <w:t>（2）载物台：全电动控制平台；</w:t>
            </w:r>
          </w:p>
        </w:tc>
      </w:tr>
      <w:tr w14:paraId="73F57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0DB178CF">
            <w:pPr>
              <w:spacing w:line="360" w:lineRule="auto"/>
              <w:rPr>
                <w:rFonts w:hint="eastAsia" w:ascii="宋体" w:hAnsi="宋体" w:cs="宋体"/>
                <w:szCs w:val="21"/>
              </w:rPr>
            </w:pPr>
          </w:p>
        </w:tc>
        <w:tc>
          <w:tcPr>
            <w:tcW w:w="647" w:type="dxa"/>
            <w:noWrap w:val="0"/>
            <w:vAlign w:val="top"/>
          </w:tcPr>
          <w:p w14:paraId="1759870E">
            <w:pPr>
              <w:pStyle w:val="7"/>
              <w:spacing w:line="360" w:lineRule="auto"/>
              <w:rPr>
                <w:rFonts w:ascii="宋体" w:hAnsi="宋体" w:cs="宋体"/>
                <w:sz w:val="21"/>
                <w:szCs w:val="21"/>
                <w:lang w:eastAsia="zh-CN"/>
              </w:rPr>
            </w:pPr>
            <w:r>
              <w:rPr>
                <w:rFonts w:ascii="宋体" w:hAnsi="宋体" w:cs="宋体"/>
                <w:sz w:val="21"/>
                <w:szCs w:val="21"/>
                <w:lang w:eastAsia="zh-CN"/>
              </w:rPr>
              <w:t>4</w:t>
            </w:r>
          </w:p>
        </w:tc>
        <w:tc>
          <w:tcPr>
            <w:tcW w:w="6912" w:type="dxa"/>
            <w:noWrap w:val="0"/>
            <w:vAlign w:val="top"/>
          </w:tcPr>
          <w:p w14:paraId="6A8247B0">
            <w:pPr>
              <w:spacing w:line="360" w:lineRule="auto"/>
              <w:rPr>
                <w:rFonts w:hint="eastAsia" w:ascii="宋体" w:hAnsi="宋体" w:cs="宋体"/>
                <w:szCs w:val="21"/>
              </w:rPr>
            </w:pPr>
            <w:r>
              <w:rPr>
                <w:rFonts w:hint="eastAsia" w:ascii="宋体" w:hAnsi="宋体" w:cs="宋体"/>
                <w:szCs w:val="21"/>
              </w:rPr>
              <w:t>4、3D显微观察系统</w:t>
            </w:r>
          </w:p>
          <w:p w14:paraId="1E4E38F2">
            <w:pPr>
              <w:spacing w:line="360" w:lineRule="auto"/>
              <w:rPr>
                <w:rFonts w:hint="eastAsia" w:ascii="宋体" w:hAnsi="宋体" w:cs="宋体"/>
                <w:szCs w:val="21"/>
              </w:rPr>
            </w:pPr>
            <w:r>
              <w:rPr>
                <w:rFonts w:hint="eastAsia" w:ascii="宋体" w:hAnsi="宋体" w:cs="宋体"/>
                <w:szCs w:val="21"/>
              </w:rPr>
              <w:t>（1）可电动控制放大倍数，放大倍数至少覆盖22-180倍；</w:t>
            </w:r>
          </w:p>
          <w:p w14:paraId="063621BF">
            <w:pPr>
              <w:spacing w:line="360" w:lineRule="auto"/>
              <w:rPr>
                <w:rFonts w:hint="eastAsia" w:ascii="宋体" w:hAnsi="宋体" w:cs="宋体"/>
                <w:szCs w:val="21"/>
              </w:rPr>
            </w:pPr>
            <w:r>
              <w:rPr>
                <w:rFonts w:hint="eastAsia" w:ascii="宋体" w:hAnsi="宋体" w:cs="宋体"/>
                <w:szCs w:val="21"/>
              </w:rPr>
              <w:t>（2）可电动控制围绕样品旋转，实现360度观察样品情况；</w:t>
            </w:r>
          </w:p>
          <w:p w14:paraId="6AA5F1ED">
            <w:pPr>
              <w:spacing w:line="360" w:lineRule="auto"/>
              <w:rPr>
                <w:rFonts w:hint="eastAsia" w:ascii="宋体" w:hAnsi="宋体" w:cs="宋体"/>
                <w:szCs w:val="21"/>
              </w:rPr>
            </w:pPr>
            <w:r>
              <w:rPr>
                <w:rFonts w:hint="eastAsia" w:ascii="宋体" w:hAnsi="宋体" w:cs="宋体"/>
                <w:b/>
                <w:bCs/>
                <w:kern w:val="0"/>
                <w:szCs w:val="21"/>
              </w:rPr>
              <w:t>▲</w:t>
            </w:r>
            <w:r>
              <w:rPr>
                <w:rFonts w:hint="eastAsia" w:ascii="宋体" w:hAnsi="宋体" w:cs="宋体"/>
                <w:szCs w:val="21"/>
              </w:rPr>
              <w:t>（3）可实现定时定位置自动观察拍照，可用于绑线，PAD等显微观察；</w:t>
            </w:r>
          </w:p>
        </w:tc>
      </w:tr>
      <w:tr w14:paraId="266FF1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6E6AEF5C">
            <w:pPr>
              <w:spacing w:line="360" w:lineRule="auto"/>
              <w:rPr>
                <w:rFonts w:hint="eastAsia" w:ascii="宋体" w:hAnsi="宋体" w:cs="宋体"/>
                <w:szCs w:val="21"/>
              </w:rPr>
            </w:pPr>
          </w:p>
        </w:tc>
        <w:tc>
          <w:tcPr>
            <w:tcW w:w="647" w:type="dxa"/>
            <w:noWrap w:val="0"/>
            <w:vAlign w:val="top"/>
          </w:tcPr>
          <w:p w14:paraId="10B708A2">
            <w:pPr>
              <w:pStyle w:val="7"/>
              <w:spacing w:line="360" w:lineRule="auto"/>
              <w:rPr>
                <w:rFonts w:ascii="宋体" w:hAnsi="宋体" w:cs="宋体"/>
                <w:sz w:val="21"/>
                <w:szCs w:val="21"/>
                <w:lang w:eastAsia="zh-CN"/>
              </w:rPr>
            </w:pPr>
            <w:r>
              <w:rPr>
                <w:rFonts w:ascii="宋体" w:hAnsi="宋体" w:cs="宋体"/>
                <w:sz w:val="21"/>
                <w:szCs w:val="21"/>
                <w:lang w:eastAsia="zh-CN"/>
              </w:rPr>
              <w:t>5</w:t>
            </w:r>
          </w:p>
        </w:tc>
        <w:tc>
          <w:tcPr>
            <w:tcW w:w="6912" w:type="dxa"/>
            <w:noWrap w:val="0"/>
            <w:vAlign w:val="top"/>
          </w:tcPr>
          <w:p w14:paraId="7203E02C">
            <w:pPr>
              <w:spacing w:line="360" w:lineRule="auto"/>
              <w:rPr>
                <w:rFonts w:hint="eastAsia" w:ascii="宋体" w:hAnsi="宋体" w:cs="宋体"/>
                <w:szCs w:val="21"/>
              </w:rPr>
            </w:pPr>
            <w:r>
              <w:rPr>
                <w:rFonts w:hint="eastAsia" w:ascii="宋体" w:hAnsi="宋体" w:cs="宋体"/>
                <w:szCs w:val="21"/>
              </w:rPr>
              <w:t>5、控制系统</w:t>
            </w:r>
          </w:p>
          <w:p w14:paraId="1028DB54">
            <w:pPr>
              <w:spacing w:line="360" w:lineRule="auto"/>
              <w:rPr>
                <w:rFonts w:hint="eastAsia" w:ascii="宋体" w:hAnsi="宋体" w:eastAsia="宋体" w:cs="宋体"/>
                <w:szCs w:val="21"/>
                <w:lang w:eastAsia="zh-CN"/>
              </w:rPr>
            </w:pPr>
            <w:r>
              <w:rPr>
                <w:rFonts w:hint="eastAsia" w:ascii="宋体" w:hAnsi="宋体" w:cs="宋体"/>
                <w:szCs w:val="21"/>
              </w:rPr>
              <w:t>（1）终端设备图文工作站CPU</w:t>
            </w:r>
            <w:r>
              <w:rPr>
                <w:rFonts w:hint="eastAsia" w:ascii="宋体" w:hAnsi="宋体" w:cs="宋体"/>
                <w:szCs w:val="21"/>
                <w:lang w:val="en-US" w:eastAsia="zh-CN"/>
              </w:rPr>
              <w:t>性能</w:t>
            </w:r>
            <w:r>
              <w:rPr>
                <w:rFonts w:hint="eastAsia" w:ascii="宋体" w:hAnsi="宋体" w:cs="宋体"/>
                <w:szCs w:val="21"/>
              </w:rPr>
              <w:t>i7或以上，核心≥20，线程≥28，内存≥32G，≥1T机械</w:t>
            </w:r>
            <w:r>
              <w:rPr>
                <w:rFonts w:hint="eastAsia" w:ascii="宋体" w:hAnsi="宋体" w:cs="宋体"/>
                <w:szCs w:val="21"/>
                <w:lang w:val="en-US" w:eastAsia="zh-CN"/>
              </w:rPr>
              <w:t>硬盘</w:t>
            </w:r>
            <w:r>
              <w:rPr>
                <w:rFonts w:hint="eastAsia" w:ascii="宋体" w:hAnsi="宋体" w:cs="宋体"/>
                <w:szCs w:val="21"/>
              </w:rPr>
              <w:t>。图文显示设备：4k或以上</w:t>
            </w:r>
            <w:r>
              <w:rPr>
                <w:rFonts w:hint="eastAsia" w:ascii="宋体" w:hAnsi="宋体" w:cs="宋体"/>
                <w:szCs w:val="21"/>
                <w:lang w:eastAsia="zh-CN"/>
              </w:rPr>
              <w:t>。</w:t>
            </w:r>
          </w:p>
          <w:p w14:paraId="324123DC">
            <w:pPr>
              <w:spacing w:line="360" w:lineRule="auto"/>
              <w:rPr>
                <w:rFonts w:ascii="宋体" w:hAnsi="宋体" w:cs="宋体"/>
                <w:szCs w:val="21"/>
              </w:rPr>
            </w:pPr>
            <w:r>
              <w:rPr>
                <w:rFonts w:hint="eastAsia" w:ascii="宋体" w:hAnsi="宋体" w:cs="宋体"/>
                <w:b/>
                <w:bCs/>
                <w:kern w:val="0"/>
                <w:szCs w:val="21"/>
              </w:rPr>
              <w:t>▲</w:t>
            </w:r>
            <w:r>
              <w:rPr>
                <w:rFonts w:hint="eastAsia" w:ascii="宋体" w:hAnsi="宋体" w:cs="宋体"/>
                <w:szCs w:val="21"/>
              </w:rPr>
              <w:t>（2）激光控制和等离子控制软件,单颗</w:t>
            </w:r>
            <w:r>
              <w:rPr>
                <w:rFonts w:hint="eastAsia" w:ascii="宋体" w:hAnsi="宋体" w:cs="宋体"/>
                <w:szCs w:val="21"/>
                <w:lang w:eastAsia="zh-CN"/>
              </w:rPr>
              <w:t>、</w:t>
            </w:r>
            <w:r>
              <w:rPr>
                <w:rFonts w:hint="eastAsia" w:ascii="宋体" w:hAnsi="宋体" w:cs="宋体"/>
                <w:szCs w:val="21"/>
              </w:rPr>
              <w:t>多颗芯片开封，参数保存保障开封重复性。</w:t>
            </w:r>
          </w:p>
          <w:p w14:paraId="656E3628">
            <w:pPr>
              <w:spacing w:line="360" w:lineRule="auto"/>
              <w:rPr>
                <w:rFonts w:hint="eastAsia" w:ascii="宋体" w:hAnsi="宋体" w:eastAsia="宋体" w:cs="宋体"/>
                <w:szCs w:val="21"/>
                <w:lang w:eastAsia="zh-CN"/>
              </w:rPr>
            </w:pPr>
            <w:r>
              <w:rPr>
                <w:rFonts w:hint="eastAsia" w:ascii="宋体" w:hAnsi="宋体" w:cs="宋体"/>
                <w:szCs w:val="21"/>
              </w:rPr>
              <w:t>（3）设备配备三色灯，并根据设备状态显示对应的红色</w:t>
            </w:r>
            <w:r>
              <w:rPr>
                <w:rFonts w:hint="eastAsia" w:ascii="宋体" w:hAnsi="宋体" w:cs="宋体"/>
                <w:szCs w:val="21"/>
                <w:lang w:eastAsia="zh-CN"/>
              </w:rPr>
              <w:t>、</w:t>
            </w:r>
            <w:r>
              <w:rPr>
                <w:rFonts w:hint="eastAsia" w:ascii="宋体" w:hAnsi="宋体" w:cs="宋体"/>
                <w:szCs w:val="21"/>
              </w:rPr>
              <w:t>绿色</w:t>
            </w:r>
            <w:r>
              <w:rPr>
                <w:rFonts w:hint="eastAsia" w:ascii="宋体" w:hAnsi="宋体" w:cs="宋体"/>
                <w:szCs w:val="21"/>
                <w:lang w:eastAsia="zh-CN"/>
              </w:rPr>
              <w:t>、</w:t>
            </w:r>
            <w:r>
              <w:rPr>
                <w:rFonts w:hint="eastAsia" w:ascii="宋体" w:hAnsi="宋体" w:cs="宋体"/>
                <w:szCs w:val="21"/>
              </w:rPr>
              <w:t>黄色</w:t>
            </w:r>
            <w:r>
              <w:rPr>
                <w:rFonts w:hint="eastAsia" w:ascii="宋体" w:hAnsi="宋体" w:cs="宋体"/>
                <w:szCs w:val="21"/>
                <w:lang w:eastAsia="zh-CN"/>
              </w:rPr>
              <w:t>。</w:t>
            </w:r>
          </w:p>
        </w:tc>
      </w:tr>
      <w:tr w14:paraId="1F2007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285F4265">
            <w:pPr>
              <w:spacing w:line="360" w:lineRule="auto"/>
              <w:rPr>
                <w:rFonts w:hint="eastAsia" w:ascii="宋体" w:hAnsi="宋体" w:cs="宋体"/>
                <w:szCs w:val="21"/>
              </w:rPr>
            </w:pPr>
          </w:p>
        </w:tc>
        <w:tc>
          <w:tcPr>
            <w:tcW w:w="647" w:type="dxa"/>
            <w:noWrap w:val="0"/>
            <w:vAlign w:val="top"/>
          </w:tcPr>
          <w:p w14:paraId="7FBFB703">
            <w:pPr>
              <w:pStyle w:val="7"/>
              <w:spacing w:line="360" w:lineRule="auto"/>
              <w:rPr>
                <w:rFonts w:ascii="宋体" w:hAnsi="宋体" w:cs="宋体"/>
                <w:sz w:val="21"/>
                <w:szCs w:val="21"/>
                <w:lang w:eastAsia="zh-CN"/>
              </w:rPr>
            </w:pPr>
            <w:r>
              <w:rPr>
                <w:rFonts w:ascii="宋体" w:hAnsi="宋体" w:cs="宋体"/>
                <w:sz w:val="21"/>
                <w:szCs w:val="21"/>
                <w:lang w:eastAsia="zh-CN"/>
              </w:rPr>
              <w:t>6</w:t>
            </w:r>
          </w:p>
        </w:tc>
        <w:tc>
          <w:tcPr>
            <w:tcW w:w="6912" w:type="dxa"/>
            <w:noWrap w:val="0"/>
            <w:vAlign w:val="top"/>
          </w:tcPr>
          <w:p w14:paraId="2129F4A9">
            <w:pPr>
              <w:spacing w:line="360" w:lineRule="auto"/>
              <w:rPr>
                <w:rFonts w:hint="eastAsia" w:ascii="宋体" w:hAnsi="宋体" w:cs="宋体"/>
                <w:szCs w:val="21"/>
              </w:rPr>
            </w:pPr>
            <w:r>
              <w:rPr>
                <w:rFonts w:hint="eastAsia" w:ascii="宋体" w:hAnsi="宋体" w:cs="宋体"/>
                <w:szCs w:val="21"/>
              </w:rPr>
              <w:t>6、吸尘装置：</w:t>
            </w:r>
          </w:p>
          <w:p w14:paraId="7F409198">
            <w:pPr>
              <w:spacing w:line="360" w:lineRule="auto"/>
              <w:rPr>
                <w:rFonts w:hint="eastAsia" w:ascii="宋体" w:hAnsi="宋体" w:cs="宋体"/>
                <w:szCs w:val="21"/>
              </w:rPr>
            </w:pPr>
            <w:r>
              <w:rPr>
                <w:rFonts w:hint="eastAsia" w:ascii="宋体" w:hAnsi="宋体" w:cs="宋体"/>
                <w:szCs w:val="21"/>
              </w:rPr>
              <w:t>（1）对≥3um的颗粒，过滤率≥99%；</w:t>
            </w:r>
          </w:p>
        </w:tc>
      </w:tr>
      <w:tr w14:paraId="43077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48CA8B37">
            <w:pPr>
              <w:spacing w:line="360" w:lineRule="auto"/>
              <w:rPr>
                <w:rFonts w:hint="eastAsia" w:ascii="宋体" w:hAnsi="宋体" w:cs="宋体"/>
                <w:szCs w:val="21"/>
              </w:rPr>
            </w:pPr>
          </w:p>
        </w:tc>
        <w:tc>
          <w:tcPr>
            <w:tcW w:w="647" w:type="dxa"/>
            <w:noWrap w:val="0"/>
            <w:vAlign w:val="top"/>
          </w:tcPr>
          <w:p w14:paraId="0E42C203">
            <w:pPr>
              <w:pStyle w:val="7"/>
              <w:spacing w:line="360" w:lineRule="auto"/>
              <w:rPr>
                <w:rFonts w:ascii="宋体" w:hAnsi="宋体" w:cs="宋体"/>
                <w:sz w:val="21"/>
                <w:szCs w:val="21"/>
                <w:lang w:eastAsia="zh-CN"/>
              </w:rPr>
            </w:pPr>
            <w:r>
              <w:rPr>
                <w:rFonts w:ascii="宋体" w:hAnsi="宋体" w:cs="宋体"/>
                <w:sz w:val="21"/>
                <w:szCs w:val="21"/>
                <w:lang w:eastAsia="zh-CN"/>
              </w:rPr>
              <w:t>7</w:t>
            </w:r>
          </w:p>
        </w:tc>
        <w:tc>
          <w:tcPr>
            <w:tcW w:w="6912" w:type="dxa"/>
            <w:noWrap w:val="0"/>
            <w:vAlign w:val="top"/>
          </w:tcPr>
          <w:p w14:paraId="6448526D">
            <w:pPr>
              <w:spacing w:line="360" w:lineRule="auto"/>
              <w:rPr>
                <w:rFonts w:hint="eastAsia" w:ascii="宋体" w:hAnsi="宋体" w:cs="宋体"/>
                <w:szCs w:val="21"/>
              </w:rPr>
            </w:pPr>
            <w:r>
              <w:rPr>
                <w:rFonts w:hint="eastAsia" w:ascii="宋体" w:hAnsi="宋体" w:cs="宋体"/>
                <w:szCs w:val="21"/>
              </w:rPr>
              <w:t>7、清洗装置：</w:t>
            </w:r>
          </w:p>
          <w:p w14:paraId="5E168960">
            <w:pPr>
              <w:spacing w:line="360" w:lineRule="auto"/>
              <w:rPr>
                <w:rFonts w:hint="eastAsia" w:ascii="宋体" w:hAnsi="宋体" w:cs="宋体"/>
                <w:szCs w:val="21"/>
              </w:rPr>
            </w:pPr>
            <w:r>
              <w:rPr>
                <w:rFonts w:hint="eastAsia" w:ascii="宋体" w:hAnsi="宋体" w:cs="宋体"/>
                <w:b/>
                <w:bCs/>
                <w:kern w:val="0"/>
                <w:szCs w:val="21"/>
              </w:rPr>
              <w:t>▲</w:t>
            </w:r>
            <w:r>
              <w:rPr>
                <w:rFonts w:hint="eastAsia" w:ascii="宋体" w:hAnsi="宋体" w:cs="宋体"/>
                <w:b/>
                <w:bCs/>
                <w:szCs w:val="21"/>
              </w:rPr>
              <w:t>（1）设备自带清洗装置，可实现晶圆级清洗，可实现自动上水和自动下水，具有水循环过滤功能。</w:t>
            </w:r>
          </w:p>
        </w:tc>
      </w:tr>
      <w:tr w14:paraId="55C5CF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6441CC31">
            <w:pPr>
              <w:spacing w:line="360" w:lineRule="auto"/>
              <w:rPr>
                <w:rFonts w:hint="eastAsia" w:ascii="宋体" w:hAnsi="宋体" w:cs="宋体"/>
                <w:szCs w:val="21"/>
              </w:rPr>
            </w:pPr>
          </w:p>
        </w:tc>
        <w:tc>
          <w:tcPr>
            <w:tcW w:w="647" w:type="dxa"/>
            <w:noWrap w:val="0"/>
            <w:vAlign w:val="top"/>
          </w:tcPr>
          <w:p w14:paraId="39C817A2">
            <w:pPr>
              <w:pStyle w:val="7"/>
              <w:spacing w:line="360" w:lineRule="auto"/>
              <w:rPr>
                <w:rFonts w:ascii="宋体" w:hAnsi="宋体" w:cs="宋体"/>
                <w:sz w:val="21"/>
                <w:szCs w:val="21"/>
                <w:lang w:eastAsia="zh-CN"/>
              </w:rPr>
            </w:pPr>
            <w:r>
              <w:rPr>
                <w:rFonts w:ascii="宋体" w:hAnsi="宋体" w:cs="宋体"/>
                <w:sz w:val="21"/>
                <w:szCs w:val="21"/>
                <w:lang w:eastAsia="zh-CN"/>
              </w:rPr>
              <w:t>8</w:t>
            </w:r>
          </w:p>
        </w:tc>
        <w:tc>
          <w:tcPr>
            <w:tcW w:w="6912" w:type="dxa"/>
            <w:noWrap w:val="0"/>
            <w:vAlign w:val="top"/>
          </w:tcPr>
          <w:p w14:paraId="2E62ADC3">
            <w:pPr>
              <w:numPr>
                <w:ilvl w:val="0"/>
                <w:numId w:val="1"/>
              </w:numPr>
              <w:spacing w:line="360" w:lineRule="auto"/>
              <w:rPr>
                <w:rFonts w:hint="eastAsia" w:ascii="宋体" w:hAnsi="宋体" w:cs="宋体"/>
                <w:b/>
                <w:bCs/>
                <w:kern w:val="0"/>
                <w:szCs w:val="21"/>
              </w:rPr>
            </w:pPr>
            <w:r>
              <w:rPr>
                <w:rFonts w:hint="eastAsia" w:ascii="宋体" w:hAnsi="宋体" w:cs="宋体"/>
                <w:b/>
                <w:bCs/>
                <w:kern w:val="0"/>
                <w:szCs w:val="21"/>
              </w:rPr>
              <w:t>配置清单（包括但不限于以下配置要求）</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5362"/>
              <w:gridCol w:w="670"/>
            </w:tblGrid>
            <w:tr w14:paraId="039C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4CAF1A8A">
                  <w:pPr>
                    <w:spacing w:line="360" w:lineRule="auto"/>
                    <w:rPr>
                      <w:rFonts w:hint="eastAsia" w:ascii="宋体" w:hAnsi="宋体" w:cs="宋体"/>
                      <w:szCs w:val="21"/>
                    </w:rPr>
                  </w:pPr>
                  <w:r>
                    <w:rPr>
                      <w:rFonts w:hint="eastAsia" w:ascii="宋体" w:hAnsi="宋体" w:cs="宋体"/>
                      <w:szCs w:val="21"/>
                    </w:rPr>
                    <w:t>序号</w:t>
                  </w:r>
                </w:p>
              </w:tc>
              <w:tc>
                <w:tcPr>
                  <w:tcW w:w="4011" w:type="pct"/>
                  <w:noWrap w:val="0"/>
                  <w:vAlign w:val="top"/>
                </w:tcPr>
                <w:p w14:paraId="3A990D59">
                  <w:pPr>
                    <w:spacing w:line="360" w:lineRule="auto"/>
                    <w:rPr>
                      <w:rFonts w:hint="eastAsia" w:ascii="宋体" w:hAnsi="宋体" w:cs="宋体"/>
                      <w:szCs w:val="21"/>
                    </w:rPr>
                  </w:pPr>
                  <w:r>
                    <w:rPr>
                      <w:rFonts w:hint="eastAsia" w:ascii="宋体" w:hAnsi="宋体" w:cs="宋体"/>
                      <w:szCs w:val="21"/>
                    </w:rPr>
                    <w:t>名称</w:t>
                  </w:r>
                </w:p>
              </w:tc>
              <w:tc>
                <w:tcPr>
                  <w:tcW w:w="501" w:type="pct"/>
                  <w:noWrap w:val="0"/>
                  <w:vAlign w:val="top"/>
                </w:tcPr>
                <w:p w14:paraId="4B53C8EB">
                  <w:pPr>
                    <w:spacing w:line="360" w:lineRule="auto"/>
                    <w:rPr>
                      <w:rFonts w:hint="eastAsia" w:ascii="宋体" w:hAnsi="宋体" w:cs="宋体"/>
                      <w:szCs w:val="21"/>
                    </w:rPr>
                  </w:pPr>
                  <w:r>
                    <w:rPr>
                      <w:rFonts w:hint="eastAsia" w:ascii="宋体" w:hAnsi="宋体" w:cs="宋体"/>
                      <w:szCs w:val="21"/>
                    </w:rPr>
                    <w:t>数量</w:t>
                  </w:r>
                </w:p>
              </w:tc>
            </w:tr>
            <w:tr w14:paraId="064F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425851A9">
                  <w:pPr>
                    <w:spacing w:line="360" w:lineRule="auto"/>
                    <w:rPr>
                      <w:rFonts w:hint="eastAsia" w:ascii="宋体" w:hAnsi="宋体" w:cs="宋体"/>
                      <w:szCs w:val="21"/>
                    </w:rPr>
                  </w:pPr>
                  <w:r>
                    <w:rPr>
                      <w:rFonts w:hint="eastAsia" w:ascii="宋体" w:hAnsi="宋体" w:cs="宋体"/>
                      <w:szCs w:val="21"/>
                    </w:rPr>
                    <w:t>1</w:t>
                  </w:r>
                </w:p>
              </w:tc>
              <w:tc>
                <w:tcPr>
                  <w:tcW w:w="4011" w:type="pct"/>
                  <w:noWrap w:val="0"/>
                  <w:vAlign w:val="top"/>
                </w:tcPr>
                <w:p w14:paraId="1E0D4754">
                  <w:pPr>
                    <w:spacing w:line="360" w:lineRule="auto"/>
                    <w:rPr>
                      <w:rFonts w:hint="eastAsia" w:ascii="宋体" w:hAnsi="宋体" w:cs="宋体"/>
                      <w:szCs w:val="21"/>
                    </w:rPr>
                  </w:pPr>
                  <w:r>
                    <w:rPr>
                      <w:rFonts w:hint="eastAsia" w:ascii="宋体" w:hAnsi="宋体" w:cs="宋体"/>
                      <w:szCs w:val="21"/>
                    </w:rPr>
                    <w:t>1064nm IR红外激光</w:t>
                  </w:r>
                </w:p>
              </w:tc>
              <w:tc>
                <w:tcPr>
                  <w:tcW w:w="501" w:type="pct"/>
                  <w:noWrap w:val="0"/>
                  <w:vAlign w:val="top"/>
                </w:tcPr>
                <w:p w14:paraId="0920113E">
                  <w:pPr>
                    <w:spacing w:line="360" w:lineRule="auto"/>
                    <w:rPr>
                      <w:rFonts w:hint="eastAsia" w:ascii="宋体" w:hAnsi="宋体" w:cs="宋体"/>
                      <w:szCs w:val="21"/>
                    </w:rPr>
                  </w:pPr>
                  <w:r>
                    <w:rPr>
                      <w:rFonts w:hint="eastAsia" w:ascii="宋体" w:hAnsi="宋体" w:cs="宋体"/>
                      <w:szCs w:val="21"/>
                    </w:rPr>
                    <w:t>1套</w:t>
                  </w:r>
                </w:p>
              </w:tc>
            </w:tr>
            <w:tr w14:paraId="183E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7C3F1EEB">
                  <w:pPr>
                    <w:spacing w:line="360" w:lineRule="auto"/>
                    <w:rPr>
                      <w:rFonts w:hint="eastAsia" w:ascii="宋体" w:hAnsi="宋体" w:cs="宋体"/>
                      <w:szCs w:val="21"/>
                    </w:rPr>
                  </w:pPr>
                  <w:r>
                    <w:rPr>
                      <w:rFonts w:hint="eastAsia" w:ascii="宋体" w:hAnsi="宋体" w:cs="宋体"/>
                      <w:szCs w:val="21"/>
                    </w:rPr>
                    <w:t>2</w:t>
                  </w:r>
                </w:p>
              </w:tc>
              <w:tc>
                <w:tcPr>
                  <w:tcW w:w="4011" w:type="pct"/>
                  <w:noWrap w:val="0"/>
                  <w:vAlign w:val="top"/>
                </w:tcPr>
                <w:p w14:paraId="5CB1E16C">
                  <w:pPr>
                    <w:pStyle w:val="2"/>
                    <w:spacing w:before="0" w:after="0" w:line="360" w:lineRule="auto"/>
                    <w:rPr>
                      <w:rFonts w:hint="eastAsia" w:ascii="宋体" w:hAnsi="宋体" w:cs="宋体"/>
                      <w:szCs w:val="21"/>
                    </w:rPr>
                  </w:pPr>
                  <w:r>
                    <w:rPr>
                      <w:rFonts w:hint="eastAsia" w:ascii="宋体" w:hAnsi="宋体" w:cs="宋体"/>
                      <w:b w:val="0"/>
                      <w:bCs w:val="0"/>
                      <w:szCs w:val="21"/>
                    </w:rPr>
                    <w:t>≥800万视觉相机</w:t>
                  </w:r>
                </w:p>
              </w:tc>
              <w:tc>
                <w:tcPr>
                  <w:tcW w:w="501" w:type="pct"/>
                  <w:noWrap w:val="0"/>
                  <w:vAlign w:val="top"/>
                </w:tcPr>
                <w:p w14:paraId="57A50449">
                  <w:pPr>
                    <w:spacing w:line="360" w:lineRule="auto"/>
                    <w:rPr>
                      <w:rFonts w:hint="eastAsia" w:ascii="宋体" w:hAnsi="宋体" w:cs="宋体"/>
                      <w:szCs w:val="21"/>
                    </w:rPr>
                  </w:pPr>
                  <w:r>
                    <w:rPr>
                      <w:rFonts w:hint="eastAsia" w:ascii="宋体" w:hAnsi="宋体" w:cs="宋体"/>
                      <w:szCs w:val="21"/>
                    </w:rPr>
                    <w:t>1个</w:t>
                  </w:r>
                </w:p>
              </w:tc>
            </w:tr>
            <w:tr w14:paraId="7C7E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104F6E02">
                  <w:pPr>
                    <w:spacing w:line="360" w:lineRule="auto"/>
                    <w:rPr>
                      <w:rFonts w:hint="eastAsia" w:ascii="宋体" w:hAnsi="宋体" w:cs="宋体"/>
                      <w:szCs w:val="21"/>
                    </w:rPr>
                  </w:pPr>
                  <w:r>
                    <w:rPr>
                      <w:rFonts w:hint="eastAsia" w:ascii="宋体" w:hAnsi="宋体" w:cs="宋体"/>
                      <w:szCs w:val="21"/>
                    </w:rPr>
                    <w:t>3</w:t>
                  </w:r>
                </w:p>
              </w:tc>
              <w:tc>
                <w:tcPr>
                  <w:tcW w:w="4011" w:type="pct"/>
                  <w:noWrap w:val="0"/>
                  <w:vAlign w:val="top"/>
                </w:tcPr>
                <w:p w14:paraId="755EC720">
                  <w:pPr>
                    <w:pStyle w:val="13"/>
                    <w:spacing w:line="360" w:lineRule="auto"/>
                    <w:jc w:val="left"/>
                    <w:rPr>
                      <w:rFonts w:ascii="宋体" w:hAnsi="宋体" w:eastAsia="宋体" w:cs="宋体"/>
                      <w:bCs/>
                    </w:rPr>
                  </w:pPr>
                  <w:r>
                    <w:rPr>
                      <w:rFonts w:ascii="宋体" w:hAnsi="宋体" w:eastAsia="宋体" w:cs="宋体"/>
                      <w:bCs/>
                    </w:rPr>
                    <w:t>微波等离子源</w:t>
                  </w:r>
                </w:p>
              </w:tc>
              <w:tc>
                <w:tcPr>
                  <w:tcW w:w="501" w:type="pct"/>
                  <w:noWrap w:val="0"/>
                  <w:vAlign w:val="top"/>
                </w:tcPr>
                <w:p w14:paraId="63B1E25E">
                  <w:pPr>
                    <w:spacing w:line="360" w:lineRule="auto"/>
                    <w:rPr>
                      <w:rFonts w:hint="eastAsia" w:ascii="宋体" w:hAnsi="宋体" w:cs="宋体"/>
                      <w:szCs w:val="21"/>
                    </w:rPr>
                  </w:pPr>
                  <w:r>
                    <w:rPr>
                      <w:rFonts w:hint="eastAsia" w:ascii="宋体" w:hAnsi="宋体" w:cs="宋体"/>
                      <w:szCs w:val="21"/>
                    </w:rPr>
                    <w:t>1个</w:t>
                  </w:r>
                </w:p>
              </w:tc>
            </w:tr>
            <w:tr w14:paraId="482D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0022EF99">
                  <w:pPr>
                    <w:spacing w:line="360" w:lineRule="auto"/>
                    <w:rPr>
                      <w:rFonts w:hint="eastAsia" w:ascii="宋体" w:hAnsi="宋体" w:cs="宋体"/>
                      <w:szCs w:val="21"/>
                    </w:rPr>
                  </w:pPr>
                  <w:r>
                    <w:rPr>
                      <w:rFonts w:hint="eastAsia" w:ascii="宋体" w:hAnsi="宋体" w:cs="宋体"/>
                      <w:szCs w:val="21"/>
                    </w:rPr>
                    <w:t>4</w:t>
                  </w:r>
                </w:p>
              </w:tc>
              <w:tc>
                <w:tcPr>
                  <w:tcW w:w="4011" w:type="pct"/>
                  <w:noWrap w:val="0"/>
                  <w:vAlign w:val="top"/>
                </w:tcPr>
                <w:p w14:paraId="26DEBB6E">
                  <w:pPr>
                    <w:pStyle w:val="13"/>
                    <w:spacing w:line="360" w:lineRule="auto"/>
                    <w:jc w:val="left"/>
                    <w:rPr>
                      <w:rFonts w:ascii="宋体" w:hAnsi="宋体" w:eastAsia="宋体" w:cs="宋体"/>
                      <w:bCs/>
                    </w:rPr>
                  </w:pPr>
                  <w:r>
                    <w:rPr>
                      <w:rFonts w:ascii="宋体" w:hAnsi="宋体" w:eastAsia="宋体" w:cs="宋体"/>
                      <w:bCs/>
                    </w:rPr>
                    <w:t>微波等离子枪</w:t>
                  </w:r>
                </w:p>
              </w:tc>
              <w:tc>
                <w:tcPr>
                  <w:tcW w:w="501" w:type="pct"/>
                  <w:noWrap w:val="0"/>
                  <w:vAlign w:val="top"/>
                </w:tcPr>
                <w:p w14:paraId="734CE26E">
                  <w:pPr>
                    <w:spacing w:line="360" w:lineRule="auto"/>
                    <w:rPr>
                      <w:rFonts w:hint="eastAsia" w:ascii="宋体" w:hAnsi="宋体" w:cs="宋体"/>
                      <w:szCs w:val="21"/>
                    </w:rPr>
                  </w:pPr>
                  <w:r>
                    <w:rPr>
                      <w:rFonts w:hint="eastAsia" w:ascii="宋体" w:hAnsi="宋体" w:cs="宋体"/>
                      <w:szCs w:val="21"/>
                    </w:rPr>
                    <w:t>1个</w:t>
                  </w:r>
                </w:p>
              </w:tc>
            </w:tr>
            <w:tr w14:paraId="5866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6CCE39D2">
                  <w:pPr>
                    <w:spacing w:line="360" w:lineRule="auto"/>
                    <w:rPr>
                      <w:rFonts w:hint="eastAsia" w:ascii="宋体" w:hAnsi="宋体" w:cs="宋体"/>
                      <w:szCs w:val="21"/>
                    </w:rPr>
                  </w:pPr>
                  <w:r>
                    <w:rPr>
                      <w:rFonts w:hint="eastAsia" w:ascii="宋体" w:hAnsi="宋体" w:cs="宋体"/>
                      <w:szCs w:val="21"/>
                    </w:rPr>
                    <w:t>5</w:t>
                  </w:r>
                </w:p>
              </w:tc>
              <w:tc>
                <w:tcPr>
                  <w:tcW w:w="4011" w:type="pct"/>
                  <w:noWrap w:val="0"/>
                  <w:vAlign w:val="top"/>
                </w:tcPr>
                <w:p w14:paraId="5CABEDA3">
                  <w:pPr>
                    <w:pStyle w:val="13"/>
                    <w:spacing w:line="360" w:lineRule="auto"/>
                    <w:jc w:val="left"/>
                    <w:rPr>
                      <w:rFonts w:ascii="宋体" w:hAnsi="宋体" w:eastAsia="宋体" w:cs="宋体"/>
                      <w:bCs/>
                    </w:rPr>
                  </w:pPr>
                  <w:r>
                    <w:rPr>
                      <w:rFonts w:ascii="宋体" w:hAnsi="宋体" w:eastAsia="宋体" w:cs="宋体"/>
                      <w:bCs/>
                    </w:rPr>
                    <w:t>气体流量计</w:t>
                  </w:r>
                </w:p>
              </w:tc>
              <w:tc>
                <w:tcPr>
                  <w:tcW w:w="501" w:type="pct"/>
                  <w:noWrap w:val="0"/>
                  <w:vAlign w:val="top"/>
                </w:tcPr>
                <w:p w14:paraId="26E688C5">
                  <w:pPr>
                    <w:spacing w:line="360" w:lineRule="auto"/>
                    <w:rPr>
                      <w:rFonts w:hint="eastAsia" w:ascii="宋体" w:hAnsi="宋体" w:cs="宋体"/>
                      <w:szCs w:val="21"/>
                    </w:rPr>
                  </w:pPr>
                  <w:r>
                    <w:rPr>
                      <w:rFonts w:hint="eastAsia" w:ascii="宋体" w:hAnsi="宋体" w:cs="宋体"/>
                      <w:szCs w:val="21"/>
                    </w:rPr>
                    <w:t>2个</w:t>
                  </w:r>
                </w:p>
              </w:tc>
            </w:tr>
            <w:tr w14:paraId="681A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2CE47DF8">
                  <w:pPr>
                    <w:spacing w:line="360" w:lineRule="auto"/>
                    <w:rPr>
                      <w:rFonts w:hint="eastAsia" w:ascii="宋体" w:hAnsi="宋体" w:cs="宋体"/>
                      <w:szCs w:val="21"/>
                    </w:rPr>
                  </w:pPr>
                  <w:r>
                    <w:rPr>
                      <w:rFonts w:hint="eastAsia" w:ascii="宋体" w:hAnsi="宋体" w:cs="宋体"/>
                      <w:szCs w:val="21"/>
                    </w:rPr>
                    <w:t>6</w:t>
                  </w:r>
                </w:p>
              </w:tc>
              <w:tc>
                <w:tcPr>
                  <w:tcW w:w="4011" w:type="pct"/>
                  <w:noWrap w:val="0"/>
                  <w:vAlign w:val="top"/>
                </w:tcPr>
                <w:p w14:paraId="063971DF">
                  <w:pPr>
                    <w:pStyle w:val="13"/>
                    <w:spacing w:line="360" w:lineRule="auto"/>
                    <w:jc w:val="left"/>
                    <w:rPr>
                      <w:rFonts w:ascii="宋体" w:hAnsi="宋体" w:eastAsia="宋体" w:cs="宋体"/>
                      <w:bCs/>
                    </w:rPr>
                  </w:pPr>
                  <w:r>
                    <w:rPr>
                      <w:rFonts w:ascii="宋体" w:hAnsi="宋体" w:eastAsia="宋体" w:cs="宋体"/>
                    </w:rPr>
                    <w:t>吸尘装置</w:t>
                  </w:r>
                </w:p>
              </w:tc>
              <w:tc>
                <w:tcPr>
                  <w:tcW w:w="501" w:type="pct"/>
                  <w:noWrap w:val="0"/>
                  <w:vAlign w:val="top"/>
                </w:tcPr>
                <w:p w14:paraId="4E7331F5">
                  <w:pPr>
                    <w:spacing w:line="360" w:lineRule="auto"/>
                    <w:rPr>
                      <w:rFonts w:hint="eastAsia" w:ascii="宋体" w:hAnsi="宋体" w:cs="宋体"/>
                      <w:szCs w:val="21"/>
                    </w:rPr>
                  </w:pPr>
                  <w:r>
                    <w:rPr>
                      <w:rFonts w:hint="eastAsia" w:ascii="宋体" w:hAnsi="宋体" w:cs="宋体"/>
                      <w:szCs w:val="21"/>
                    </w:rPr>
                    <w:t>1套</w:t>
                  </w:r>
                </w:p>
              </w:tc>
            </w:tr>
            <w:tr w14:paraId="625B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16CA3E1B">
                  <w:pPr>
                    <w:spacing w:line="360" w:lineRule="auto"/>
                    <w:rPr>
                      <w:rFonts w:hint="eastAsia" w:ascii="宋体" w:hAnsi="宋体" w:cs="宋体"/>
                      <w:szCs w:val="21"/>
                    </w:rPr>
                  </w:pPr>
                  <w:r>
                    <w:rPr>
                      <w:rFonts w:hint="eastAsia" w:ascii="宋体" w:hAnsi="宋体" w:cs="宋体"/>
                      <w:szCs w:val="21"/>
                    </w:rPr>
                    <w:t>7</w:t>
                  </w:r>
                </w:p>
              </w:tc>
              <w:tc>
                <w:tcPr>
                  <w:tcW w:w="4011" w:type="pct"/>
                  <w:noWrap w:val="0"/>
                  <w:vAlign w:val="top"/>
                </w:tcPr>
                <w:p w14:paraId="7DD10E35">
                  <w:pPr>
                    <w:pStyle w:val="13"/>
                    <w:spacing w:line="360" w:lineRule="auto"/>
                    <w:jc w:val="left"/>
                    <w:rPr>
                      <w:rFonts w:ascii="宋体" w:hAnsi="宋体" w:eastAsia="宋体" w:cs="宋体"/>
                      <w:bCs/>
                    </w:rPr>
                  </w:pPr>
                  <w:r>
                    <w:rPr>
                      <w:rFonts w:ascii="宋体" w:hAnsi="宋体" w:eastAsia="宋体" w:cs="宋体"/>
                      <w:bCs/>
                    </w:rPr>
                    <w:t>夹具</w:t>
                  </w:r>
                </w:p>
              </w:tc>
              <w:tc>
                <w:tcPr>
                  <w:tcW w:w="501" w:type="pct"/>
                  <w:noWrap w:val="0"/>
                  <w:vAlign w:val="top"/>
                </w:tcPr>
                <w:p w14:paraId="23EAB2D8">
                  <w:pPr>
                    <w:spacing w:line="360" w:lineRule="auto"/>
                    <w:rPr>
                      <w:rFonts w:hint="eastAsia" w:ascii="宋体" w:hAnsi="宋体" w:cs="宋体"/>
                      <w:szCs w:val="21"/>
                    </w:rPr>
                  </w:pPr>
                  <w:r>
                    <w:rPr>
                      <w:rFonts w:hint="eastAsia" w:ascii="宋体" w:hAnsi="宋体" w:cs="宋体"/>
                      <w:szCs w:val="21"/>
                    </w:rPr>
                    <w:t>1套</w:t>
                  </w:r>
                </w:p>
              </w:tc>
            </w:tr>
            <w:tr w14:paraId="0A36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2DCA50A2">
                  <w:pPr>
                    <w:spacing w:line="360" w:lineRule="auto"/>
                    <w:rPr>
                      <w:rFonts w:hint="eastAsia" w:ascii="宋体" w:hAnsi="宋体" w:cs="宋体"/>
                      <w:szCs w:val="21"/>
                    </w:rPr>
                  </w:pPr>
                  <w:r>
                    <w:rPr>
                      <w:rFonts w:hint="eastAsia" w:ascii="宋体" w:hAnsi="宋体" w:cs="宋体"/>
                      <w:szCs w:val="21"/>
                    </w:rPr>
                    <w:t>8</w:t>
                  </w:r>
                </w:p>
              </w:tc>
              <w:tc>
                <w:tcPr>
                  <w:tcW w:w="4011" w:type="pct"/>
                  <w:noWrap w:val="0"/>
                  <w:vAlign w:val="top"/>
                </w:tcPr>
                <w:p w14:paraId="02B78C5F">
                  <w:pPr>
                    <w:pStyle w:val="13"/>
                    <w:spacing w:line="360" w:lineRule="auto"/>
                    <w:jc w:val="left"/>
                    <w:rPr>
                      <w:rFonts w:ascii="宋体" w:hAnsi="宋体" w:eastAsia="宋体" w:cs="宋体"/>
                      <w:bCs/>
                    </w:rPr>
                  </w:pPr>
                  <w:r>
                    <w:rPr>
                      <w:rFonts w:ascii="宋体" w:hAnsi="宋体" w:eastAsia="宋体" w:cs="宋体"/>
                      <w:bCs/>
                    </w:rPr>
                    <w:t>图文工作站</w:t>
                  </w:r>
                  <w:r>
                    <w:rPr>
                      <w:rFonts w:hint="eastAsia" w:ascii="宋体" w:hAnsi="宋体" w:eastAsia="宋体" w:cs="宋体"/>
                      <w:bCs/>
                      <w:lang w:eastAsia="zh-CN"/>
                    </w:rPr>
                    <w:t>，</w:t>
                  </w:r>
                  <w:r>
                    <w:rPr>
                      <w:rFonts w:ascii="宋体" w:hAnsi="宋体" w:eastAsia="宋体" w:cs="宋体"/>
                      <w:bCs/>
                    </w:rPr>
                    <w:t>图文显示设备，键盘，鼠标</w:t>
                  </w:r>
                </w:p>
              </w:tc>
              <w:tc>
                <w:tcPr>
                  <w:tcW w:w="501" w:type="pct"/>
                  <w:noWrap w:val="0"/>
                  <w:vAlign w:val="top"/>
                </w:tcPr>
                <w:p w14:paraId="674CA0D9">
                  <w:pPr>
                    <w:spacing w:line="360" w:lineRule="auto"/>
                    <w:rPr>
                      <w:rFonts w:hint="eastAsia" w:ascii="宋体" w:hAnsi="宋体" w:cs="宋体"/>
                      <w:szCs w:val="21"/>
                    </w:rPr>
                  </w:pPr>
                  <w:r>
                    <w:rPr>
                      <w:rFonts w:hint="eastAsia" w:ascii="宋体" w:hAnsi="宋体" w:cs="宋体"/>
                      <w:szCs w:val="21"/>
                    </w:rPr>
                    <w:t>1套</w:t>
                  </w:r>
                </w:p>
              </w:tc>
            </w:tr>
            <w:tr w14:paraId="218C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4F8744D7">
                  <w:pPr>
                    <w:spacing w:line="360" w:lineRule="auto"/>
                    <w:rPr>
                      <w:rFonts w:hint="eastAsia" w:ascii="宋体" w:hAnsi="宋体" w:cs="宋体"/>
                      <w:szCs w:val="21"/>
                    </w:rPr>
                  </w:pPr>
                  <w:r>
                    <w:rPr>
                      <w:rFonts w:hint="eastAsia" w:ascii="宋体" w:hAnsi="宋体" w:cs="宋体"/>
                      <w:szCs w:val="21"/>
                    </w:rPr>
                    <w:t>9</w:t>
                  </w:r>
                </w:p>
              </w:tc>
              <w:tc>
                <w:tcPr>
                  <w:tcW w:w="4011" w:type="pct"/>
                  <w:noWrap w:val="0"/>
                  <w:vAlign w:val="top"/>
                </w:tcPr>
                <w:p w14:paraId="4925AF7C">
                  <w:pPr>
                    <w:pStyle w:val="13"/>
                    <w:spacing w:line="360" w:lineRule="auto"/>
                    <w:jc w:val="left"/>
                    <w:rPr>
                      <w:rFonts w:ascii="宋体" w:hAnsi="宋体" w:eastAsia="宋体" w:cs="宋体"/>
                      <w:bCs/>
                    </w:rPr>
                  </w:pPr>
                  <w:r>
                    <w:rPr>
                      <w:rFonts w:ascii="宋体" w:hAnsi="宋体" w:eastAsia="宋体" w:cs="宋体"/>
                      <w:bCs/>
                    </w:rPr>
                    <w:t>三色灯</w:t>
                  </w:r>
                </w:p>
              </w:tc>
              <w:tc>
                <w:tcPr>
                  <w:tcW w:w="501" w:type="pct"/>
                  <w:noWrap w:val="0"/>
                  <w:vAlign w:val="top"/>
                </w:tcPr>
                <w:p w14:paraId="3F0C5470">
                  <w:pPr>
                    <w:spacing w:line="360" w:lineRule="auto"/>
                    <w:rPr>
                      <w:rFonts w:hint="eastAsia" w:ascii="宋体" w:hAnsi="宋体" w:cs="宋体"/>
                      <w:szCs w:val="21"/>
                    </w:rPr>
                  </w:pPr>
                  <w:r>
                    <w:rPr>
                      <w:rFonts w:hint="eastAsia" w:ascii="宋体" w:hAnsi="宋体" w:cs="宋体"/>
                      <w:szCs w:val="21"/>
                    </w:rPr>
                    <w:t>1套</w:t>
                  </w:r>
                </w:p>
              </w:tc>
            </w:tr>
            <w:tr w14:paraId="413B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3C49C843">
                  <w:pPr>
                    <w:spacing w:line="360" w:lineRule="auto"/>
                    <w:rPr>
                      <w:rFonts w:hint="eastAsia" w:ascii="宋体" w:hAnsi="宋体" w:cs="宋体"/>
                      <w:szCs w:val="21"/>
                    </w:rPr>
                  </w:pPr>
                  <w:r>
                    <w:rPr>
                      <w:rFonts w:hint="eastAsia" w:ascii="宋体" w:hAnsi="宋体" w:cs="宋体"/>
                      <w:szCs w:val="21"/>
                    </w:rPr>
                    <w:t>10</w:t>
                  </w:r>
                </w:p>
              </w:tc>
              <w:tc>
                <w:tcPr>
                  <w:tcW w:w="4011" w:type="pct"/>
                  <w:noWrap w:val="0"/>
                  <w:vAlign w:val="top"/>
                </w:tcPr>
                <w:p w14:paraId="629A4CD1">
                  <w:pPr>
                    <w:pStyle w:val="13"/>
                    <w:spacing w:line="360" w:lineRule="auto"/>
                    <w:jc w:val="left"/>
                    <w:rPr>
                      <w:rFonts w:ascii="宋体" w:hAnsi="宋体" w:eastAsia="宋体" w:cs="宋体"/>
                      <w:bCs/>
                    </w:rPr>
                  </w:pPr>
                  <w:r>
                    <w:rPr>
                      <w:rFonts w:ascii="宋体" w:hAnsi="宋体" w:eastAsia="宋体" w:cs="宋体"/>
                      <w:bCs/>
                    </w:rPr>
                    <w:t>软件一套</w:t>
                  </w:r>
                </w:p>
              </w:tc>
              <w:tc>
                <w:tcPr>
                  <w:tcW w:w="501" w:type="pct"/>
                  <w:noWrap w:val="0"/>
                  <w:vAlign w:val="top"/>
                </w:tcPr>
                <w:p w14:paraId="4AA29B46">
                  <w:pPr>
                    <w:spacing w:line="360" w:lineRule="auto"/>
                    <w:rPr>
                      <w:rFonts w:hint="eastAsia" w:ascii="宋体" w:hAnsi="宋体" w:cs="宋体"/>
                      <w:szCs w:val="21"/>
                    </w:rPr>
                  </w:pPr>
                  <w:r>
                    <w:rPr>
                      <w:rFonts w:hint="eastAsia" w:ascii="宋体" w:hAnsi="宋体" w:cs="宋体"/>
                      <w:szCs w:val="21"/>
                    </w:rPr>
                    <w:t>1套</w:t>
                  </w:r>
                </w:p>
              </w:tc>
            </w:tr>
            <w:tr w14:paraId="0F89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46CECAF5">
                  <w:pPr>
                    <w:spacing w:line="360" w:lineRule="auto"/>
                    <w:rPr>
                      <w:rFonts w:hint="eastAsia" w:ascii="宋体" w:hAnsi="宋体" w:cs="宋体"/>
                      <w:szCs w:val="21"/>
                    </w:rPr>
                  </w:pPr>
                  <w:r>
                    <w:rPr>
                      <w:rFonts w:hint="eastAsia" w:ascii="宋体" w:hAnsi="宋体" w:cs="宋体"/>
                      <w:szCs w:val="21"/>
                    </w:rPr>
                    <w:t>11</w:t>
                  </w:r>
                </w:p>
              </w:tc>
              <w:tc>
                <w:tcPr>
                  <w:tcW w:w="4011" w:type="pct"/>
                  <w:noWrap w:val="0"/>
                  <w:vAlign w:val="top"/>
                </w:tcPr>
                <w:p w14:paraId="7FE2836C">
                  <w:pPr>
                    <w:pStyle w:val="13"/>
                    <w:spacing w:line="360" w:lineRule="auto"/>
                    <w:jc w:val="left"/>
                    <w:rPr>
                      <w:rFonts w:ascii="宋体" w:hAnsi="宋体" w:eastAsia="宋体" w:cs="宋体"/>
                      <w:bCs/>
                    </w:rPr>
                  </w:pPr>
                  <w:r>
                    <w:rPr>
                      <w:rFonts w:ascii="宋体" w:hAnsi="宋体" w:eastAsia="宋体" w:cs="宋体"/>
                      <w:bCs/>
                    </w:rPr>
                    <w:t>空气滤芯</w:t>
                  </w:r>
                </w:p>
              </w:tc>
              <w:tc>
                <w:tcPr>
                  <w:tcW w:w="501" w:type="pct"/>
                  <w:noWrap w:val="0"/>
                  <w:vAlign w:val="top"/>
                </w:tcPr>
                <w:p w14:paraId="2984E497">
                  <w:pPr>
                    <w:spacing w:line="360" w:lineRule="auto"/>
                    <w:rPr>
                      <w:rFonts w:hint="eastAsia" w:ascii="宋体" w:hAnsi="宋体" w:cs="宋体"/>
                      <w:szCs w:val="21"/>
                    </w:rPr>
                  </w:pPr>
                  <w:r>
                    <w:rPr>
                      <w:rFonts w:hint="eastAsia" w:ascii="宋体" w:hAnsi="宋体" w:cs="宋体"/>
                      <w:szCs w:val="21"/>
                    </w:rPr>
                    <w:t>2套</w:t>
                  </w:r>
                </w:p>
              </w:tc>
            </w:tr>
            <w:tr w14:paraId="756D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noWrap w:val="0"/>
                  <w:vAlign w:val="top"/>
                </w:tcPr>
                <w:p w14:paraId="5346A5E0">
                  <w:pPr>
                    <w:spacing w:line="360" w:lineRule="auto"/>
                    <w:rPr>
                      <w:rFonts w:hint="eastAsia" w:ascii="宋体" w:hAnsi="宋体" w:cs="宋体"/>
                      <w:szCs w:val="21"/>
                    </w:rPr>
                  </w:pPr>
                  <w:r>
                    <w:rPr>
                      <w:rFonts w:hint="eastAsia" w:ascii="宋体" w:hAnsi="宋体" w:cs="宋体"/>
                      <w:szCs w:val="21"/>
                    </w:rPr>
                    <w:t>12</w:t>
                  </w:r>
                </w:p>
              </w:tc>
              <w:tc>
                <w:tcPr>
                  <w:tcW w:w="4011" w:type="pct"/>
                  <w:noWrap w:val="0"/>
                  <w:vAlign w:val="top"/>
                </w:tcPr>
                <w:p w14:paraId="2A3BAD27">
                  <w:pPr>
                    <w:pStyle w:val="13"/>
                    <w:spacing w:line="360" w:lineRule="auto"/>
                    <w:jc w:val="left"/>
                    <w:rPr>
                      <w:rFonts w:ascii="宋体" w:hAnsi="宋体" w:eastAsia="宋体" w:cs="宋体"/>
                      <w:bCs/>
                    </w:rPr>
                  </w:pPr>
                  <w:r>
                    <w:rPr>
                      <w:rFonts w:ascii="宋体" w:hAnsi="宋体" w:eastAsia="宋体" w:cs="宋体"/>
                      <w:bCs/>
                    </w:rPr>
                    <w:t>等离子管材</w:t>
                  </w:r>
                </w:p>
              </w:tc>
              <w:tc>
                <w:tcPr>
                  <w:tcW w:w="501" w:type="pct"/>
                  <w:noWrap w:val="0"/>
                  <w:vAlign w:val="top"/>
                </w:tcPr>
                <w:p w14:paraId="14013213">
                  <w:pPr>
                    <w:spacing w:line="360" w:lineRule="auto"/>
                    <w:rPr>
                      <w:rFonts w:hint="eastAsia" w:ascii="宋体" w:hAnsi="宋体" w:cs="宋体"/>
                      <w:szCs w:val="21"/>
                    </w:rPr>
                  </w:pPr>
                  <w:r>
                    <w:rPr>
                      <w:rFonts w:hint="eastAsia" w:ascii="宋体" w:hAnsi="宋体" w:cs="宋体"/>
                      <w:szCs w:val="21"/>
                    </w:rPr>
                    <w:t>6个</w:t>
                  </w:r>
                </w:p>
              </w:tc>
            </w:tr>
          </w:tbl>
          <w:p w14:paraId="4FD393D0">
            <w:pPr>
              <w:spacing w:line="360" w:lineRule="auto"/>
              <w:rPr>
                <w:rFonts w:hint="eastAsia" w:ascii="宋体" w:hAnsi="宋体" w:cs="宋体"/>
                <w:b/>
                <w:bCs/>
                <w:kern w:val="0"/>
                <w:szCs w:val="21"/>
              </w:rPr>
            </w:pPr>
          </w:p>
        </w:tc>
      </w:tr>
      <w:tr w14:paraId="588058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7" w:type="dxa"/>
            <w:noWrap w:val="0"/>
            <w:vAlign w:val="top"/>
          </w:tcPr>
          <w:p w14:paraId="645F2A13">
            <w:pPr>
              <w:pStyle w:val="7"/>
              <w:spacing w:line="360" w:lineRule="auto"/>
              <w:rPr>
                <w:rFonts w:ascii="宋体" w:hAnsi="宋体" w:cs="宋体"/>
                <w:sz w:val="21"/>
                <w:szCs w:val="21"/>
              </w:rPr>
            </w:pPr>
            <w:r>
              <w:rPr>
                <w:rFonts w:ascii="宋体" w:hAnsi="宋体" w:cs="宋体"/>
                <w:sz w:val="21"/>
                <w:szCs w:val="21"/>
              </w:rPr>
              <w:t>说明</w:t>
            </w:r>
          </w:p>
        </w:tc>
        <w:tc>
          <w:tcPr>
            <w:tcW w:w="7559" w:type="dxa"/>
            <w:gridSpan w:val="2"/>
            <w:noWrap w:val="0"/>
            <w:vAlign w:val="top"/>
          </w:tcPr>
          <w:p w14:paraId="09F26C2A">
            <w:pPr>
              <w:pStyle w:val="7"/>
              <w:spacing w:line="360" w:lineRule="auto"/>
              <w:rPr>
                <w:rFonts w:ascii="宋体" w:hAnsi="宋体" w:cs="宋体"/>
                <w:sz w:val="21"/>
                <w:szCs w:val="21"/>
              </w:rPr>
            </w:pPr>
            <w:r>
              <w:rPr>
                <w:rFonts w:ascii="宋体" w:hAnsi="宋体" w:cs="宋体"/>
                <w:sz w:val="21"/>
                <w:szCs w:val="21"/>
              </w:rPr>
              <w:t xml:space="preserve"> 打“★”号条款为实质性条款，若有任何一条负偏离或不满足则导致投标无效。 </w:t>
            </w:r>
            <w:r>
              <w:rPr>
                <w:rFonts w:ascii="宋体" w:hAnsi="宋体" w:cs="宋体"/>
                <w:sz w:val="21"/>
                <w:szCs w:val="21"/>
              </w:rPr>
              <w:br w:type="textWrapping"/>
            </w:r>
            <w:r>
              <w:rPr>
                <w:rFonts w:ascii="宋体" w:hAnsi="宋体" w:cs="宋体"/>
                <w:sz w:val="21"/>
                <w:szCs w:val="21"/>
              </w:rPr>
              <w:t>打“▲”号条款为重要技术参数，若有部分“▲”条款未响应或不满足，不作为无效投标条款。</w:t>
            </w:r>
          </w:p>
        </w:tc>
      </w:tr>
    </w:tbl>
    <w:p w14:paraId="564591C2">
      <w:pPr>
        <w:pStyle w:val="7"/>
        <w:adjustRightInd w:val="0"/>
        <w:snapToGrid w:val="0"/>
        <w:spacing w:line="360" w:lineRule="auto"/>
        <w:ind w:firstLine="482"/>
        <w:rPr>
          <w:rFonts w:ascii="宋体" w:hAnsi="宋体"/>
          <w:sz w:val="24"/>
          <w:szCs w:val="24"/>
        </w:rPr>
      </w:pPr>
    </w:p>
    <w:p w14:paraId="0436BEE6">
      <w:pPr>
        <w:pStyle w:val="7"/>
        <w:adjustRightInd w:val="0"/>
        <w:snapToGrid w:val="0"/>
        <w:spacing w:line="360" w:lineRule="auto"/>
        <w:ind w:left="1" w:leftChars="-95" w:hanging="200" w:firstLineChars="0"/>
        <w:rPr>
          <w:rFonts w:hint="default" w:ascii="宋体" w:hAnsi="宋体"/>
          <w:b/>
          <w:bCs/>
          <w:sz w:val="24"/>
          <w:szCs w:val="24"/>
        </w:rPr>
      </w:pPr>
      <w:r>
        <w:rPr>
          <w:rFonts w:hint="eastAsia" w:ascii="宋体" w:hAnsi="宋体"/>
          <w:b/>
          <w:bCs/>
          <w:sz w:val="24"/>
          <w:szCs w:val="24"/>
          <w:lang w:val="en-US" w:eastAsia="zh-CN"/>
        </w:rPr>
        <w:t>4</w:t>
      </w:r>
      <w:r>
        <w:rPr>
          <w:rFonts w:hint="eastAsia" w:ascii="宋体" w:hAnsi="宋体"/>
          <w:b/>
          <w:bCs/>
          <w:sz w:val="24"/>
          <w:szCs w:val="24"/>
          <w:lang w:eastAsia="zh-CN"/>
        </w:rPr>
        <w:t>、</w:t>
      </w:r>
      <w:r>
        <w:rPr>
          <w:rFonts w:ascii="宋体" w:hAnsi="宋体"/>
          <w:b/>
          <w:bCs/>
          <w:sz w:val="24"/>
          <w:szCs w:val="24"/>
        </w:rPr>
        <w:t>主要商务要求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8"/>
        <w:gridCol w:w="6638"/>
      </w:tblGrid>
      <w:tr w14:paraId="212B9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524AD8A8">
            <w:pPr>
              <w:pStyle w:val="7"/>
              <w:rPr>
                <w:rFonts w:ascii="宋体" w:hAnsi="宋体"/>
                <w:color w:val="auto"/>
                <w:sz w:val="21"/>
                <w:szCs w:val="21"/>
              </w:rPr>
            </w:pPr>
            <w:r>
              <w:rPr>
                <w:rFonts w:ascii="宋体" w:hAnsi="宋体"/>
                <w:color w:val="auto"/>
                <w:sz w:val="21"/>
                <w:szCs w:val="21"/>
              </w:rPr>
              <w:t>标的提供的时间</w:t>
            </w:r>
          </w:p>
        </w:tc>
        <w:tc>
          <w:tcPr>
            <w:tcW w:w="6638" w:type="dxa"/>
            <w:noWrap w:val="0"/>
            <w:vAlign w:val="top"/>
          </w:tcPr>
          <w:p w14:paraId="1A797D9C">
            <w:pPr>
              <w:pStyle w:val="7"/>
              <w:rPr>
                <w:rFonts w:ascii="宋体" w:hAnsi="宋体"/>
                <w:color w:val="auto"/>
                <w:sz w:val="21"/>
                <w:szCs w:val="21"/>
                <w:lang w:eastAsia="zh-CN"/>
              </w:rPr>
            </w:pPr>
            <w:r>
              <w:rPr>
                <w:rFonts w:ascii="宋体" w:hAnsi="宋体"/>
                <w:color w:val="auto"/>
                <w:sz w:val="21"/>
                <w:szCs w:val="21"/>
              </w:rPr>
              <w:t>自合同签订之日起</w:t>
            </w:r>
            <w:r>
              <w:rPr>
                <w:rFonts w:ascii="宋体" w:hAnsi="宋体"/>
                <w:color w:val="auto"/>
                <w:sz w:val="21"/>
                <w:szCs w:val="21"/>
                <w:lang w:eastAsia="zh-CN"/>
              </w:rPr>
              <w:t>2</w:t>
            </w:r>
            <w:r>
              <w:rPr>
                <w:rFonts w:ascii="宋体" w:hAnsi="宋体"/>
                <w:color w:val="auto"/>
                <w:sz w:val="21"/>
                <w:szCs w:val="21"/>
              </w:rPr>
              <w:t>个月内</w:t>
            </w:r>
          </w:p>
        </w:tc>
      </w:tr>
      <w:tr w14:paraId="5CF92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412B0E76">
            <w:pPr>
              <w:pStyle w:val="7"/>
              <w:rPr>
                <w:rFonts w:ascii="宋体" w:hAnsi="宋体"/>
                <w:color w:val="auto"/>
                <w:sz w:val="21"/>
                <w:szCs w:val="21"/>
              </w:rPr>
            </w:pPr>
            <w:r>
              <w:rPr>
                <w:rFonts w:ascii="宋体" w:hAnsi="宋体"/>
                <w:color w:val="auto"/>
                <w:sz w:val="21"/>
                <w:szCs w:val="21"/>
              </w:rPr>
              <w:t>标的提供的地点</w:t>
            </w:r>
          </w:p>
        </w:tc>
        <w:tc>
          <w:tcPr>
            <w:tcW w:w="6638" w:type="dxa"/>
            <w:noWrap w:val="0"/>
            <w:vAlign w:val="top"/>
          </w:tcPr>
          <w:p w14:paraId="7C21BD95">
            <w:pPr>
              <w:pStyle w:val="7"/>
              <w:rPr>
                <w:rFonts w:ascii="宋体" w:hAnsi="宋体"/>
                <w:color w:val="auto"/>
                <w:sz w:val="21"/>
                <w:szCs w:val="21"/>
              </w:rPr>
            </w:pPr>
            <w:r>
              <w:rPr>
                <w:rFonts w:ascii="宋体" w:hAnsi="宋体"/>
                <w:color w:val="auto"/>
                <w:sz w:val="21"/>
                <w:szCs w:val="21"/>
              </w:rPr>
              <w:t>采购人指定地点（季华实验室）</w:t>
            </w:r>
          </w:p>
        </w:tc>
      </w:tr>
      <w:tr w14:paraId="3477C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58282057">
            <w:pPr>
              <w:pStyle w:val="7"/>
              <w:rPr>
                <w:rFonts w:ascii="宋体" w:hAnsi="宋体"/>
                <w:color w:val="auto"/>
                <w:sz w:val="21"/>
                <w:szCs w:val="21"/>
              </w:rPr>
            </w:pPr>
            <w:r>
              <w:rPr>
                <w:rFonts w:ascii="宋体" w:hAnsi="宋体"/>
                <w:color w:val="auto"/>
                <w:sz w:val="21"/>
                <w:szCs w:val="21"/>
              </w:rPr>
              <w:t>付款方式</w:t>
            </w:r>
          </w:p>
        </w:tc>
        <w:tc>
          <w:tcPr>
            <w:tcW w:w="6638" w:type="dxa"/>
            <w:noWrap w:val="0"/>
            <w:vAlign w:val="top"/>
          </w:tcPr>
          <w:p w14:paraId="43B3A03E">
            <w:pPr>
              <w:pStyle w:val="7"/>
              <w:rPr>
                <w:rFonts w:hint="default" w:ascii="宋体" w:hAnsi="宋体"/>
                <w:color w:val="auto"/>
                <w:sz w:val="21"/>
                <w:szCs w:val="21"/>
                <w:lang w:eastAsia="zh-CN"/>
              </w:rPr>
            </w:pPr>
            <w:r>
              <w:rPr>
                <w:rFonts w:ascii="宋体" w:hAnsi="宋体"/>
                <w:color w:val="auto"/>
                <w:sz w:val="21"/>
                <w:szCs w:val="21"/>
              </w:rPr>
              <w:t>1期：</w:t>
            </w:r>
          </w:p>
          <w:p w14:paraId="2F4367BE">
            <w:pPr>
              <w:pStyle w:val="7"/>
              <w:rPr>
                <w:rFonts w:ascii="宋体" w:hAnsi="宋体"/>
                <w:color w:val="auto"/>
                <w:sz w:val="21"/>
                <w:szCs w:val="21"/>
              </w:rPr>
            </w:pPr>
            <w:r>
              <w:rPr>
                <w:rFonts w:ascii="宋体" w:hAnsi="宋体"/>
                <w:color w:val="auto"/>
                <w:sz w:val="21"/>
                <w:szCs w:val="21"/>
              </w:rPr>
              <w:t>（1）预付款：</w:t>
            </w:r>
            <w:r>
              <w:rPr>
                <w:rFonts w:ascii="宋体" w:hAnsi="宋体"/>
                <w:color w:val="auto"/>
                <w:sz w:val="21"/>
                <w:szCs w:val="21"/>
                <w:lang w:eastAsia="zh-CN"/>
              </w:rPr>
              <w:t>本采购项目预付款为合同总价的30%。采购人于签订合同后5个工作日内</w:t>
            </w:r>
            <w:r>
              <w:rPr>
                <w:rFonts w:ascii="宋体" w:hAnsi="宋体"/>
                <w:color w:val="auto"/>
                <w:sz w:val="21"/>
                <w:szCs w:val="21"/>
              </w:rPr>
              <w:t>向</w:t>
            </w:r>
            <w:r>
              <w:rPr>
                <w:rFonts w:ascii="宋体" w:hAnsi="宋体"/>
                <w:color w:val="auto"/>
                <w:sz w:val="21"/>
                <w:szCs w:val="21"/>
                <w:lang w:eastAsia="zh-CN"/>
              </w:rPr>
              <w:t>中标供应商</w:t>
            </w:r>
            <w:r>
              <w:rPr>
                <w:rFonts w:ascii="宋体" w:hAnsi="宋体"/>
                <w:color w:val="auto"/>
                <w:sz w:val="21"/>
                <w:szCs w:val="21"/>
              </w:rPr>
              <w:t>支付合同总价的30%；</w:t>
            </w:r>
          </w:p>
          <w:p w14:paraId="4FAA6A13">
            <w:pPr>
              <w:pStyle w:val="7"/>
              <w:rPr>
                <w:rFonts w:ascii="宋体" w:hAnsi="宋体"/>
                <w:color w:val="auto"/>
                <w:sz w:val="21"/>
                <w:szCs w:val="21"/>
              </w:rPr>
            </w:pPr>
            <w:r>
              <w:rPr>
                <w:rFonts w:ascii="宋体" w:hAnsi="宋体"/>
                <w:color w:val="auto"/>
                <w:sz w:val="21"/>
                <w:szCs w:val="21"/>
              </w:rPr>
              <w:t>（2）验收款：货物安装调试结束，技术验收合格并交付使用后，自采购人技术验收合格之日起60日内，</w:t>
            </w:r>
            <w:r>
              <w:rPr>
                <w:rFonts w:ascii="宋体" w:hAnsi="宋体"/>
                <w:color w:val="auto"/>
                <w:sz w:val="21"/>
                <w:szCs w:val="21"/>
                <w:lang w:eastAsia="zh-CN"/>
              </w:rPr>
              <w:t>中标供应商</w:t>
            </w:r>
            <w:r>
              <w:rPr>
                <w:rFonts w:ascii="宋体" w:hAnsi="宋体"/>
                <w:color w:val="auto"/>
                <w:sz w:val="21"/>
                <w:szCs w:val="21"/>
              </w:rPr>
              <w:t>凭采购人签订的技术验收单，采购人向</w:t>
            </w:r>
            <w:r>
              <w:rPr>
                <w:rFonts w:ascii="宋体" w:hAnsi="宋体"/>
                <w:color w:val="auto"/>
                <w:sz w:val="21"/>
                <w:szCs w:val="21"/>
                <w:lang w:eastAsia="zh-CN"/>
              </w:rPr>
              <w:t>中标供应商</w:t>
            </w:r>
            <w:r>
              <w:rPr>
                <w:rFonts w:ascii="宋体" w:hAnsi="宋体"/>
                <w:color w:val="auto"/>
                <w:sz w:val="21"/>
                <w:szCs w:val="21"/>
              </w:rPr>
              <w:t>支付合同总价的70%。</w:t>
            </w:r>
          </w:p>
          <w:p w14:paraId="11E70A1F">
            <w:pPr>
              <w:pStyle w:val="7"/>
              <w:rPr>
                <w:rFonts w:ascii="宋体" w:hAnsi="宋体"/>
                <w:color w:val="auto"/>
                <w:sz w:val="21"/>
                <w:szCs w:val="21"/>
                <w:lang w:eastAsia="zh-CN"/>
              </w:rPr>
            </w:pPr>
            <w:r>
              <w:rPr>
                <w:rFonts w:ascii="宋体" w:hAnsi="宋体"/>
                <w:color w:val="auto"/>
                <w:sz w:val="21"/>
                <w:szCs w:val="21"/>
              </w:rPr>
              <w:t>（3）</w:t>
            </w:r>
            <w:r>
              <w:rPr>
                <w:rFonts w:ascii="宋体" w:hAnsi="宋体"/>
                <w:color w:val="auto"/>
                <w:sz w:val="21"/>
                <w:szCs w:val="21"/>
                <w:lang w:eastAsia="zh-CN"/>
              </w:rPr>
              <w:t>中标供应商</w:t>
            </w:r>
            <w:r>
              <w:rPr>
                <w:rFonts w:ascii="宋体" w:hAnsi="宋体"/>
                <w:color w:val="auto"/>
                <w:sz w:val="21"/>
                <w:szCs w:val="21"/>
              </w:rPr>
              <w:t>申请验收款项前需开具全额的增值税专用发票，且发票内容须与合同标的、金额、开票信息完全一致，发票不合规或与合同不符的，采购人有权拒绝付款。对于满足合同支付条件的</w:t>
            </w:r>
            <w:r>
              <w:rPr>
                <w:rFonts w:ascii="宋体" w:hAnsi="宋体"/>
                <w:color w:val="auto"/>
                <w:sz w:val="21"/>
                <w:szCs w:val="21"/>
                <w:lang w:eastAsia="zh-CN"/>
              </w:rPr>
              <w:t>，采购人原则上在收到发票后10个工作日内按照采购合同约定完成资金支付。</w:t>
            </w:r>
          </w:p>
        </w:tc>
      </w:tr>
      <w:tr w14:paraId="35F719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315C70A6">
            <w:pPr>
              <w:pStyle w:val="7"/>
              <w:rPr>
                <w:rFonts w:ascii="宋体" w:hAnsi="宋体"/>
                <w:color w:val="auto"/>
                <w:sz w:val="21"/>
                <w:szCs w:val="21"/>
              </w:rPr>
            </w:pPr>
            <w:r>
              <w:rPr>
                <w:rFonts w:ascii="宋体" w:hAnsi="宋体"/>
                <w:color w:val="auto"/>
                <w:sz w:val="21"/>
                <w:szCs w:val="21"/>
              </w:rPr>
              <w:t>验收要求</w:t>
            </w:r>
          </w:p>
        </w:tc>
        <w:tc>
          <w:tcPr>
            <w:tcW w:w="6638" w:type="dxa"/>
            <w:noWrap w:val="0"/>
            <w:vAlign w:val="top"/>
          </w:tcPr>
          <w:p w14:paraId="3D54FC41">
            <w:pPr>
              <w:pStyle w:val="7"/>
              <w:rPr>
                <w:rFonts w:ascii="宋体" w:hAnsi="宋体"/>
                <w:color w:val="auto"/>
                <w:sz w:val="21"/>
                <w:szCs w:val="21"/>
              </w:rPr>
            </w:pPr>
            <w:r>
              <w:rPr>
                <w:rFonts w:ascii="宋体" w:hAnsi="宋体"/>
                <w:color w:val="auto"/>
                <w:sz w:val="21"/>
                <w:szCs w:val="21"/>
              </w:rPr>
              <w:t>采购人应在到货后15日内完成开箱验收；投标人应于采购人完成开箱验收之日起30日内完成安装调试；在货物安装调试完毕并连续稳定运行72小时无故障后，投标人可凭借全套验收资料向采购人发起验收申请，采购人在收到投标人的验收申请后</w:t>
            </w:r>
            <w:r>
              <w:rPr>
                <w:rFonts w:ascii="宋体" w:hAnsi="宋体"/>
                <w:color w:val="auto"/>
                <w:sz w:val="21"/>
                <w:szCs w:val="21"/>
                <w:lang w:eastAsia="zh-CN"/>
              </w:rPr>
              <w:t>30</w:t>
            </w:r>
            <w:r>
              <w:rPr>
                <w:rFonts w:ascii="宋体" w:hAnsi="宋体"/>
                <w:color w:val="auto"/>
                <w:sz w:val="21"/>
                <w:szCs w:val="21"/>
              </w:rPr>
              <w:t>日</w:t>
            </w:r>
            <w:r>
              <w:rPr>
                <w:rFonts w:ascii="宋体" w:hAnsi="宋体"/>
                <w:color w:val="auto"/>
                <w:sz w:val="21"/>
                <w:szCs w:val="21"/>
              </w:rPr>
              <w:t>内完成货物技术验收。</w:t>
            </w:r>
          </w:p>
          <w:p w14:paraId="14FE9834">
            <w:pPr>
              <w:pStyle w:val="7"/>
              <w:rPr>
                <w:rFonts w:ascii="宋体" w:hAnsi="宋体"/>
                <w:color w:val="auto"/>
                <w:sz w:val="21"/>
                <w:szCs w:val="21"/>
              </w:rPr>
            </w:pPr>
            <w:r>
              <w:rPr>
                <w:rFonts w:ascii="宋体" w:hAnsi="宋体"/>
                <w:color w:val="auto"/>
                <w:sz w:val="21"/>
                <w:szCs w:val="21"/>
              </w:rPr>
              <w:t>货物验收程序分为预验收、开箱验收、安装调试、技术验收。</w:t>
            </w:r>
          </w:p>
          <w:p w14:paraId="5DF60787">
            <w:pPr>
              <w:pStyle w:val="7"/>
              <w:rPr>
                <w:rFonts w:ascii="宋体" w:hAnsi="宋体"/>
                <w:color w:val="auto"/>
                <w:sz w:val="21"/>
                <w:szCs w:val="21"/>
              </w:rPr>
            </w:pPr>
          </w:p>
          <w:p w14:paraId="2F1F6524">
            <w:pPr>
              <w:pStyle w:val="7"/>
              <w:rPr>
                <w:rFonts w:ascii="宋体" w:hAnsi="宋体"/>
                <w:color w:val="auto"/>
                <w:sz w:val="21"/>
                <w:szCs w:val="21"/>
              </w:rPr>
            </w:pPr>
            <w:r>
              <w:rPr>
                <w:rFonts w:ascii="宋体" w:hAnsi="宋体"/>
                <w:color w:val="auto"/>
                <w:sz w:val="21"/>
                <w:szCs w:val="21"/>
              </w:rPr>
              <w:t>1.预验收：货物出厂前10天，</w:t>
            </w:r>
            <w:r>
              <w:rPr>
                <w:rFonts w:ascii="宋体" w:hAnsi="宋体"/>
                <w:color w:val="auto"/>
                <w:sz w:val="21"/>
                <w:szCs w:val="21"/>
                <w:lang w:eastAsia="zh-CN"/>
              </w:rPr>
              <w:t>中标供应商</w:t>
            </w:r>
            <w:r>
              <w:rPr>
                <w:rFonts w:ascii="宋体" w:hAnsi="宋体"/>
                <w:color w:val="auto"/>
                <w:sz w:val="21"/>
                <w:szCs w:val="21"/>
              </w:rPr>
              <w:t>应提前通知采购人，采购人派人到生产厂地进行预备验收，以保证货物符合采购人的需求，签订《预验收报告》。</w:t>
            </w:r>
          </w:p>
          <w:p w14:paraId="06109AD2">
            <w:pPr>
              <w:pStyle w:val="7"/>
              <w:rPr>
                <w:rFonts w:ascii="宋体" w:hAnsi="宋体"/>
                <w:color w:val="auto"/>
                <w:sz w:val="21"/>
                <w:szCs w:val="21"/>
              </w:rPr>
            </w:pPr>
            <w:r>
              <w:rPr>
                <w:rFonts w:ascii="宋体" w:hAnsi="宋体"/>
                <w:color w:val="auto"/>
                <w:sz w:val="21"/>
                <w:szCs w:val="21"/>
              </w:rPr>
              <w:t>2.开箱验收：货物送达采购人指定位置后，于货物货物安装调试前进行开箱验收，验收通过签订《开箱验收单》。</w:t>
            </w:r>
          </w:p>
          <w:p w14:paraId="52E663EE">
            <w:pPr>
              <w:pStyle w:val="7"/>
              <w:rPr>
                <w:rFonts w:ascii="宋体" w:hAnsi="宋体"/>
                <w:color w:val="auto"/>
                <w:sz w:val="21"/>
                <w:szCs w:val="21"/>
              </w:rPr>
            </w:pPr>
            <w:r>
              <w:rPr>
                <w:rFonts w:ascii="宋体" w:hAnsi="宋体"/>
                <w:color w:val="auto"/>
                <w:sz w:val="21"/>
                <w:szCs w:val="21"/>
              </w:rPr>
              <w:t>（1）以技术协议第一条“配置清单”“随机文件”为依据，采购人投标人双方代表共同开箱清点货物、配件、资料等，经查验，实收货物完好并与上述清单所列示内容一致，采购人在“开箱验收单”上签字。如出现不符，投标人负责解决相关事宜，赔偿因此给采购人造成的损失。</w:t>
            </w:r>
          </w:p>
          <w:p w14:paraId="665B960C">
            <w:pPr>
              <w:pStyle w:val="7"/>
              <w:rPr>
                <w:rFonts w:ascii="宋体" w:hAnsi="宋体"/>
                <w:color w:val="auto"/>
                <w:sz w:val="21"/>
                <w:szCs w:val="21"/>
              </w:rPr>
            </w:pPr>
            <w:r>
              <w:rPr>
                <w:rFonts w:ascii="宋体" w:hAnsi="宋体"/>
                <w:color w:val="auto"/>
                <w:sz w:val="21"/>
                <w:szCs w:val="21"/>
              </w:rPr>
              <w:t>（2）随机文件包括但不限于：关键主机设备的用户手册、保修手册，单证资料、出厂合格检验证书、货物产地证明书及原厂货物质量证明书和出厂验收报告等，及配备件、随机工具、使用操作及安全须知等资料，上述资料在采购人投标人双方开箱检验后完成交接。</w:t>
            </w:r>
          </w:p>
          <w:p w14:paraId="599BCC5B">
            <w:pPr>
              <w:pStyle w:val="7"/>
              <w:rPr>
                <w:rFonts w:ascii="宋体" w:hAnsi="宋体"/>
                <w:color w:val="auto"/>
                <w:sz w:val="21"/>
                <w:szCs w:val="21"/>
              </w:rPr>
            </w:pPr>
            <w:r>
              <w:rPr>
                <w:rFonts w:ascii="宋体" w:hAnsi="宋体"/>
                <w:color w:val="auto"/>
                <w:sz w:val="21"/>
                <w:szCs w:val="21"/>
              </w:rPr>
              <w:t>3.安装调试：</w:t>
            </w:r>
          </w:p>
          <w:p w14:paraId="572E5BAE">
            <w:pPr>
              <w:pStyle w:val="7"/>
              <w:rPr>
                <w:rFonts w:ascii="宋体" w:hAnsi="宋体"/>
                <w:color w:val="auto"/>
                <w:sz w:val="21"/>
                <w:szCs w:val="21"/>
              </w:rPr>
            </w:pPr>
            <w:r>
              <w:rPr>
                <w:rFonts w:ascii="宋体" w:hAnsi="宋体"/>
                <w:color w:val="auto"/>
                <w:sz w:val="21"/>
                <w:szCs w:val="21"/>
              </w:rPr>
              <w:t>（1）投标人负责货物在使用现场的安装调试工作。开箱验收合格后，投标人工程师应立即进行安装调试工作。投标人须依照招标文件的要求和投标文件的承诺，将货物、系统安装并调试至正常运行的最佳状态。</w:t>
            </w:r>
          </w:p>
          <w:p w14:paraId="3B6BCC3A">
            <w:pPr>
              <w:pStyle w:val="7"/>
              <w:rPr>
                <w:rFonts w:ascii="宋体" w:hAnsi="宋体"/>
                <w:color w:val="auto"/>
                <w:sz w:val="21"/>
                <w:szCs w:val="21"/>
              </w:rPr>
            </w:pPr>
            <w:r>
              <w:rPr>
                <w:rFonts w:ascii="宋体" w:hAnsi="宋体"/>
                <w:color w:val="auto"/>
                <w:sz w:val="21"/>
                <w:szCs w:val="21"/>
              </w:rPr>
              <w:t>（2）投标人承担开箱后至技术验收完成期间货物的存储责任。安装调试期间设备毁损、灭失的风险由投标人承担，直至采购人签署技术验收单为止。</w:t>
            </w:r>
          </w:p>
          <w:p w14:paraId="29D3D255">
            <w:pPr>
              <w:pStyle w:val="7"/>
              <w:rPr>
                <w:rFonts w:ascii="宋体" w:hAnsi="宋体"/>
                <w:color w:val="auto"/>
                <w:sz w:val="21"/>
                <w:szCs w:val="21"/>
              </w:rPr>
            </w:pPr>
            <w:r>
              <w:rPr>
                <w:rFonts w:ascii="宋体" w:hAnsi="宋体"/>
                <w:color w:val="auto"/>
                <w:sz w:val="21"/>
                <w:szCs w:val="21"/>
              </w:rPr>
              <w:t>4.技术验收：安装调试完成后，双方对货物进行技术验收。因采购人原因导致验收推迟的，验收时限相应顺延。</w:t>
            </w:r>
          </w:p>
          <w:p w14:paraId="198CACBA">
            <w:pPr>
              <w:pStyle w:val="7"/>
              <w:rPr>
                <w:rFonts w:ascii="宋体" w:hAnsi="宋体"/>
                <w:color w:val="auto"/>
                <w:sz w:val="21"/>
                <w:szCs w:val="21"/>
              </w:rPr>
            </w:pPr>
            <w:r>
              <w:rPr>
                <w:rFonts w:ascii="宋体" w:hAnsi="宋体"/>
                <w:color w:val="auto"/>
                <w:sz w:val="21"/>
                <w:szCs w:val="21"/>
              </w:rPr>
              <w:t>（1）检测依据及标准</w:t>
            </w:r>
          </w:p>
          <w:p w14:paraId="4C3E9C99">
            <w:pPr>
              <w:pStyle w:val="7"/>
              <w:rPr>
                <w:rFonts w:ascii="宋体" w:hAnsi="宋体"/>
                <w:color w:val="auto"/>
                <w:sz w:val="21"/>
                <w:szCs w:val="21"/>
              </w:rPr>
            </w:pPr>
            <w:r>
              <w:rPr>
                <w:rFonts w:ascii="宋体" w:hAnsi="宋体"/>
                <w:color w:val="auto"/>
                <w:sz w:val="21"/>
                <w:szCs w:val="21"/>
                <w:lang w:eastAsia="zh-CN"/>
              </w:rPr>
              <w:t>技术</w:t>
            </w:r>
            <w:r>
              <w:rPr>
                <w:rFonts w:ascii="宋体" w:hAnsi="宋体"/>
                <w:color w:val="auto"/>
                <w:sz w:val="21"/>
                <w:szCs w:val="21"/>
              </w:rPr>
              <w:t>协议第二条款“主要技术指标”。</w:t>
            </w:r>
          </w:p>
          <w:p w14:paraId="5DB4A95A">
            <w:pPr>
              <w:pStyle w:val="7"/>
              <w:rPr>
                <w:rFonts w:ascii="宋体" w:hAnsi="宋体"/>
                <w:color w:val="auto"/>
                <w:sz w:val="21"/>
                <w:szCs w:val="21"/>
              </w:rPr>
            </w:pPr>
            <w:r>
              <w:rPr>
                <w:rFonts w:ascii="宋体" w:hAnsi="宋体"/>
                <w:color w:val="auto"/>
                <w:sz w:val="21"/>
                <w:szCs w:val="21"/>
              </w:rPr>
              <w:t>（2）检测内容：检测内容应完全包含投标文件所列的主要技术指标，可根据实际情况进行补充检验项目，但不能减少。</w:t>
            </w:r>
          </w:p>
          <w:p w14:paraId="58B0C6F5">
            <w:pPr>
              <w:pStyle w:val="7"/>
              <w:rPr>
                <w:rFonts w:ascii="宋体" w:hAnsi="宋体"/>
                <w:color w:val="auto"/>
                <w:sz w:val="21"/>
                <w:szCs w:val="21"/>
              </w:rPr>
            </w:pPr>
            <w:r>
              <w:rPr>
                <w:rFonts w:ascii="宋体" w:hAnsi="宋体"/>
                <w:color w:val="auto"/>
                <w:sz w:val="21"/>
                <w:szCs w:val="21"/>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p>
          <w:p w14:paraId="59C80640">
            <w:pPr>
              <w:pStyle w:val="7"/>
              <w:rPr>
                <w:rFonts w:ascii="宋体" w:hAnsi="宋体"/>
                <w:color w:val="auto"/>
                <w:sz w:val="21"/>
                <w:szCs w:val="21"/>
              </w:rPr>
            </w:pPr>
          </w:p>
        </w:tc>
      </w:tr>
      <w:tr w14:paraId="63E4A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164F800C">
            <w:pPr>
              <w:pStyle w:val="7"/>
              <w:rPr>
                <w:rFonts w:ascii="宋体" w:hAnsi="宋体"/>
                <w:color w:val="auto"/>
                <w:sz w:val="21"/>
                <w:szCs w:val="21"/>
              </w:rPr>
            </w:pPr>
            <w:r>
              <w:rPr>
                <w:rFonts w:ascii="宋体" w:hAnsi="宋体"/>
                <w:color w:val="auto"/>
                <w:sz w:val="21"/>
                <w:szCs w:val="21"/>
              </w:rPr>
              <w:t>履约保证金</w:t>
            </w:r>
          </w:p>
        </w:tc>
        <w:tc>
          <w:tcPr>
            <w:tcW w:w="6638" w:type="dxa"/>
            <w:noWrap w:val="0"/>
            <w:vAlign w:val="top"/>
          </w:tcPr>
          <w:p w14:paraId="0BAF3646">
            <w:pPr>
              <w:pStyle w:val="7"/>
              <w:rPr>
                <w:rFonts w:ascii="宋体" w:hAnsi="宋体"/>
                <w:color w:val="auto"/>
                <w:sz w:val="21"/>
                <w:szCs w:val="21"/>
              </w:rPr>
            </w:pPr>
            <w:r>
              <w:rPr>
                <w:rFonts w:ascii="宋体" w:hAnsi="宋体"/>
                <w:color w:val="auto"/>
                <w:sz w:val="21"/>
                <w:szCs w:val="21"/>
              </w:rPr>
              <w:t>不收取</w:t>
            </w:r>
          </w:p>
        </w:tc>
      </w:tr>
      <w:tr w14:paraId="27DF1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7C6CD7F0">
            <w:pPr>
              <w:pStyle w:val="7"/>
              <w:rPr>
                <w:rFonts w:ascii="宋体" w:hAnsi="宋体"/>
                <w:color w:val="auto"/>
                <w:sz w:val="21"/>
                <w:szCs w:val="21"/>
                <w:lang w:eastAsia="zh-CN"/>
              </w:rPr>
            </w:pPr>
            <w:r>
              <w:rPr>
                <w:rFonts w:ascii="宋体" w:hAnsi="宋体"/>
                <w:color w:val="auto"/>
                <w:sz w:val="21"/>
                <w:szCs w:val="21"/>
              </w:rPr>
              <w:t>投标报价</w:t>
            </w:r>
          </w:p>
        </w:tc>
        <w:tc>
          <w:tcPr>
            <w:tcW w:w="6638" w:type="dxa"/>
            <w:noWrap w:val="0"/>
            <w:vAlign w:val="top"/>
          </w:tcPr>
          <w:p w14:paraId="686BFCB6">
            <w:pPr>
              <w:pStyle w:val="7"/>
              <w:rPr>
                <w:rFonts w:ascii="宋体" w:hAnsi="宋体"/>
                <w:color w:val="auto"/>
                <w:sz w:val="21"/>
                <w:szCs w:val="21"/>
              </w:rPr>
            </w:pPr>
            <w:r>
              <w:rPr>
                <w:rFonts w:ascii="宋体" w:hAnsi="宋体"/>
                <w:color w:val="auto"/>
                <w:sz w:val="21"/>
                <w:szCs w:val="21"/>
              </w:rPr>
              <w:t>从中华人民共和国关境内提供的货物,包括关境内制造的货物&amp;投标截止时间前已经进口的货物：（报货物运送至采购人指定现场包干价（国产货物）/DDP价（境内进口货物），其他包括但不限于以下）</w:t>
            </w:r>
          </w:p>
          <w:p w14:paraId="1E6DAB29">
            <w:pPr>
              <w:pStyle w:val="7"/>
              <w:rPr>
                <w:rFonts w:ascii="宋体" w:hAnsi="宋体"/>
                <w:color w:val="auto"/>
                <w:sz w:val="21"/>
                <w:szCs w:val="21"/>
              </w:rPr>
            </w:pPr>
            <w:r>
              <w:rPr>
                <w:rFonts w:ascii="宋体" w:hAnsi="宋体"/>
                <w:color w:val="auto"/>
                <w:sz w:val="21"/>
                <w:szCs w:val="21"/>
              </w:rPr>
              <w:t>①　各项税费，包括向中华人民共和国政府缴纳的增值税、进口制造部件和原材料或进口货物关税、增值税和其他税费，必要时提供完税证明。</w:t>
            </w:r>
          </w:p>
          <w:p w14:paraId="7C959327">
            <w:pPr>
              <w:pStyle w:val="7"/>
              <w:rPr>
                <w:rFonts w:ascii="宋体" w:hAnsi="宋体"/>
                <w:color w:val="auto"/>
                <w:sz w:val="21"/>
                <w:szCs w:val="21"/>
              </w:rPr>
            </w:pPr>
            <w:r>
              <w:rPr>
                <w:rFonts w:ascii="宋体" w:hAnsi="宋体"/>
                <w:color w:val="auto"/>
                <w:sz w:val="21"/>
                <w:szCs w:val="21"/>
              </w:rPr>
              <w:t>②　交货到使用现场（采购人指定到货地点）产生的全部费用，包括货物运至最终目的地的运输费、保险费及与货物交运相关的其他费用。</w:t>
            </w:r>
          </w:p>
          <w:p w14:paraId="4FB2874F">
            <w:pPr>
              <w:pStyle w:val="7"/>
              <w:rPr>
                <w:rFonts w:ascii="宋体" w:hAnsi="宋体"/>
                <w:color w:val="auto"/>
                <w:sz w:val="21"/>
                <w:szCs w:val="21"/>
              </w:rPr>
            </w:pPr>
            <w:r>
              <w:rPr>
                <w:rFonts w:ascii="宋体" w:hAnsi="宋体"/>
                <w:color w:val="auto"/>
                <w:sz w:val="21"/>
                <w:szCs w:val="21"/>
              </w:rPr>
              <w:t>③　安装与调试、验收、检验、培训、技术文件的移交、质量保证期服务、技术服务、售后服务及招标文件要求提供的其他服务等，包括但不限于安装调试过程中损耗、额外材料、设计费等。</w:t>
            </w:r>
          </w:p>
          <w:p w14:paraId="312CED9D">
            <w:pPr>
              <w:pStyle w:val="7"/>
              <w:rPr>
                <w:rFonts w:hint="default" w:ascii="宋体" w:hAnsi="宋体"/>
                <w:color w:val="auto"/>
                <w:sz w:val="21"/>
                <w:szCs w:val="21"/>
                <w:lang w:eastAsia="zh-CN"/>
              </w:rPr>
            </w:pPr>
            <w:r>
              <w:rPr>
                <w:rFonts w:ascii="宋体" w:hAnsi="宋体"/>
                <w:color w:val="auto"/>
                <w:sz w:val="21"/>
                <w:szCs w:val="21"/>
              </w:rPr>
              <w:t>④　设备正常运行所需的专用工具和质量保证期内的备品备件费用。</w:t>
            </w:r>
          </w:p>
        </w:tc>
      </w:tr>
      <w:tr w14:paraId="58082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43B34A13">
            <w:pPr>
              <w:pStyle w:val="7"/>
              <w:rPr>
                <w:rFonts w:ascii="宋体" w:hAnsi="宋体"/>
                <w:color w:val="auto"/>
                <w:sz w:val="21"/>
                <w:szCs w:val="21"/>
                <w:lang w:eastAsia="zh-CN"/>
              </w:rPr>
            </w:pPr>
            <w:r>
              <w:rPr>
                <w:rFonts w:ascii="宋体" w:hAnsi="宋体"/>
                <w:color w:val="auto"/>
                <w:sz w:val="21"/>
                <w:szCs w:val="21"/>
                <w:lang w:eastAsia="zh-CN"/>
              </w:rPr>
              <w:t>交货期、交货地点</w:t>
            </w:r>
          </w:p>
        </w:tc>
        <w:tc>
          <w:tcPr>
            <w:tcW w:w="6638" w:type="dxa"/>
            <w:noWrap w:val="0"/>
            <w:vAlign w:val="top"/>
          </w:tcPr>
          <w:p w14:paraId="138EEFB6">
            <w:pPr>
              <w:pStyle w:val="7"/>
              <w:rPr>
                <w:rFonts w:ascii="宋体" w:hAnsi="宋体"/>
                <w:color w:val="auto"/>
                <w:sz w:val="21"/>
                <w:szCs w:val="21"/>
                <w:lang w:eastAsia="zh-CN"/>
              </w:rPr>
            </w:pPr>
            <w:r>
              <w:rPr>
                <w:rFonts w:ascii="宋体" w:hAnsi="宋体"/>
                <w:color w:val="auto"/>
                <w:sz w:val="21"/>
                <w:szCs w:val="21"/>
              </w:rPr>
              <w:t>1.交货期：自合同签订之日起</w:t>
            </w:r>
            <w:r>
              <w:rPr>
                <w:rFonts w:ascii="宋体" w:hAnsi="宋体"/>
                <w:color w:val="auto"/>
                <w:sz w:val="21"/>
                <w:szCs w:val="21"/>
                <w:lang w:eastAsia="zh-CN"/>
              </w:rPr>
              <w:t>2</w:t>
            </w:r>
            <w:r>
              <w:rPr>
                <w:rFonts w:ascii="宋体" w:hAnsi="宋体"/>
                <w:color w:val="auto"/>
                <w:sz w:val="21"/>
                <w:szCs w:val="21"/>
              </w:rPr>
              <w:t>个月内</w:t>
            </w:r>
            <w:r>
              <w:rPr>
                <w:rFonts w:ascii="宋体" w:hAnsi="宋体"/>
                <w:color w:val="auto"/>
                <w:sz w:val="21"/>
                <w:szCs w:val="21"/>
                <w:lang w:eastAsia="zh-CN"/>
              </w:rPr>
              <w:t>。</w:t>
            </w:r>
          </w:p>
          <w:p w14:paraId="28FC4E73">
            <w:pPr>
              <w:pStyle w:val="7"/>
              <w:rPr>
                <w:rFonts w:ascii="宋体" w:hAnsi="宋体"/>
                <w:color w:val="auto"/>
                <w:sz w:val="21"/>
                <w:szCs w:val="21"/>
              </w:rPr>
            </w:pPr>
            <w:r>
              <w:rPr>
                <w:rFonts w:ascii="宋体" w:hAnsi="宋体"/>
                <w:color w:val="auto"/>
                <w:sz w:val="21"/>
                <w:szCs w:val="21"/>
              </w:rPr>
              <w:t>2.交货地点：采购人指定地点（季华实验室）</w:t>
            </w:r>
          </w:p>
          <w:p w14:paraId="171058C0">
            <w:pPr>
              <w:pStyle w:val="7"/>
              <w:rPr>
                <w:rFonts w:ascii="宋体" w:hAnsi="宋体"/>
                <w:color w:val="auto"/>
                <w:sz w:val="21"/>
                <w:szCs w:val="21"/>
              </w:rPr>
            </w:pPr>
            <w:r>
              <w:rPr>
                <w:rFonts w:ascii="宋体" w:hAnsi="宋体"/>
                <w:color w:val="auto"/>
                <w:sz w:val="21"/>
                <w:szCs w:val="21"/>
              </w:rPr>
              <w:t>3.如投标人未能按时履行交货义务，采购人有权单方面终止合同，投标人需退还采购人已支付的全部款项，并赔偿采购人由此造成遭受的全部损失。如采购人选择继续履行合同的，投标人应积极支付逾期违约金，赔偿因逾期造成的实际损失，并全面履行合同项下义务。</w:t>
            </w:r>
          </w:p>
        </w:tc>
      </w:tr>
      <w:tr w14:paraId="2FDA5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3FD76812">
            <w:pPr>
              <w:pStyle w:val="7"/>
              <w:rPr>
                <w:rFonts w:ascii="宋体" w:hAnsi="宋体"/>
                <w:color w:val="auto"/>
                <w:sz w:val="21"/>
                <w:szCs w:val="21"/>
                <w:lang w:eastAsia="zh-CN"/>
              </w:rPr>
            </w:pPr>
            <w:r>
              <w:rPr>
                <w:rFonts w:ascii="宋体" w:hAnsi="宋体"/>
                <w:color w:val="auto"/>
                <w:sz w:val="21"/>
                <w:szCs w:val="21"/>
                <w:lang w:eastAsia="zh-CN"/>
              </w:rPr>
              <w:t>货物质量要求</w:t>
            </w:r>
          </w:p>
        </w:tc>
        <w:tc>
          <w:tcPr>
            <w:tcW w:w="6638" w:type="dxa"/>
            <w:noWrap w:val="0"/>
            <w:vAlign w:val="top"/>
          </w:tcPr>
          <w:p w14:paraId="46DCEE02">
            <w:pPr>
              <w:pStyle w:val="7"/>
              <w:rPr>
                <w:rFonts w:ascii="宋体" w:hAnsi="宋体"/>
                <w:color w:val="auto"/>
                <w:sz w:val="21"/>
                <w:szCs w:val="21"/>
              </w:rPr>
            </w:pPr>
            <w:r>
              <w:rPr>
                <w:rFonts w:ascii="宋体" w:hAnsi="宋体"/>
                <w:color w:val="auto"/>
                <w:sz w:val="21"/>
                <w:szCs w:val="21"/>
              </w:rPr>
              <w:t>1.</w:t>
            </w:r>
            <w:r>
              <w:rPr>
                <w:rFonts w:ascii="宋体" w:hAnsi="宋体"/>
                <w:color w:val="auto"/>
                <w:sz w:val="21"/>
                <w:szCs w:val="21"/>
              </w:rPr>
              <w:tab/>
            </w:r>
            <w:r>
              <w:rPr>
                <w:rFonts w:ascii="宋体" w:hAnsi="宋体"/>
                <w:color w:val="auto"/>
                <w:sz w:val="21"/>
                <w:szCs w:val="21"/>
              </w:rPr>
              <w:t>投标人交付的货物之质量、技术、环保、安全、卫生等标准必须符合约定的标准。</w:t>
            </w:r>
          </w:p>
          <w:p w14:paraId="0B1503E2">
            <w:pPr>
              <w:pStyle w:val="7"/>
              <w:rPr>
                <w:rFonts w:ascii="宋体" w:hAnsi="宋体"/>
                <w:color w:val="auto"/>
                <w:sz w:val="21"/>
                <w:szCs w:val="21"/>
              </w:rPr>
            </w:pPr>
            <w:r>
              <w:rPr>
                <w:rFonts w:ascii="宋体" w:hAnsi="宋体"/>
                <w:color w:val="auto"/>
                <w:sz w:val="21"/>
                <w:szCs w:val="21"/>
              </w:rPr>
              <w:t>2.</w:t>
            </w:r>
            <w:r>
              <w:rPr>
                <w:rFonts w:ascii="宋体" w:hAnsi="宋体"/>
                <w:color w:val="auto"/>
                <w:sz w:val="21"/>
                <w:szCs w:val="21"/>
              </w:rPr>
              <w:tab/>
            </w:r>
            <w:r>
              <w:rPr>
                <w:rFonts w:ascii="宋体" w:hAnsi="宋体"/>
                <w:color w:val="auto"/>
                <w:sz w:val="21"/>
                <w:szCs w:val="21"/>
              </w:rPr>
              <w:t>上款所说“约定的标准”是指：</w:t>
            </w:r>
          </w:p>
          <w:p w14:paraId="61951101">
            <w:pPr>
              <w:pStyle w:val="7"/>
              <w:rPr>
                <w:rFonts w:ascii="宋体" w:hAnsi="宋体"/>
                <w:color w:val="auto"/>
                <w:sz w:val="21"/>
                <w:szCs w:val="21"/>
              </w:rPr>
            </w:pPr>
            <w:r>
              <w:rPr>
                <w:rFonts w:ascii="宋体" w:hAnsi="宋体"/>
                <w:color w:val="auto"/>
                <w:sz w:val="21"/>
                <w:szCs w:val="21"/>
              </w:rPr>
              <w:t>(1)</w:t>
            </w:r>
            <w:r>
              <w:rPr>
                <w:rFonts w:ascii="宋体" w:hAnsi="宋体"/>
                <w:color w:val="auto"/>
                <w:sz w:val="21"/>
                <w:szCs w:val="21"/>
              </w:rPr>
              <w:tab/>
            </w:r>
            <w:r>
              <w:rPr>
                <w:rFonts w:ascii="宋体" w:hAnsi="宋体"/>
                <w:color w:val="auto"/>
                <w:sz w:val="21"/>
                <w:szCs w:val="21"/>
              </w:rPr>
              <w:t>《招标文件》中的“采购需求”所设定的质量标准和投标人在《投标文件》中对此做出的陈述或“响应”。凡投标人单方面在《投标文件》中做出的优于《招标文件》所设定的质量标准、技术指标或参数、性能、环保或节能标准，附件、技术或信息服务与支持、售后服务以及其他任何优厚条件之陈述或意思表示，一旦与《招标文件》设定的标准不一致，以招标文件要求为基准，当投标文件响应优于招标文件时，按投标文件承诺执行。</w:t>
            </w:r>
          </w:p>
          <w:p w14:paraId="7520E022">
            <w:pPr>
              <w:pStyle w:val="7"/>
              <w:rPr>
                <w:rFonts w:ascii="宋体" w:hAnsi="宋体"/>
                <w:color w:val="auto"/>
                <w:sz w:val="21"/>
                <w:szCs w:val="21"/>
              </w:rPr>
            </w:pPr>
            <w:r>
              <w:rPr>
                <w:rFonts w:ascii="宋体" w:hAnsi="宋体"/>
                <w:color w:val="auto"/>
                <w:sz w:val="21"/>
                <w:szCs w:val="21"/>
              </w:rPr>
              <w:t>(2)</w:t>
            </w:r>
            <w:r>
              <w:rPr>
                <w:rFonts w:ascii="宋体" w:hAnsi="宋体"/>
                <w:color w:val="auto"/>
                <w:sz w:val="21"/>
                <w:szCs w:val="21"/>
              </w:rPr>
              <w:tab/>
            </w:r>
            <w:r>
              <w:rPr>
                <w:rFonts w:ascii="宋体" w:hAnsi="宋体"/>
                <w:color w:val="auto"/>
                <w:sz w:val="21"/>
                <w:szCs w:val="21"/>
              </w:rPr>
              <w:t>在招投标过程中属于投标人送交了经采购人确认的货物样板的（双方共同签署《货物样板确认书》并封存成品样板），此样板即为最低验收标准，实际交付的货物均应有产品质量检验合格标志。</w:t>
            </w:r>
          </w:p>
          <w:p w14:paraId="492D4AEF">
            <w:pPr>
              <w:pStyle w:val="7"/>
              <w:rPr>
                <w:rFonts w:ascii="宋体" w:hAnsi="宋体"/>
                <w:color w:val="auto"/>
                <w:sz w:val="21"/>
                <w:szCs w:val="21"/>
              </w:rPr>
            </w:pPr>
            <w:r>
              <w:rPr>
                <w:rFonts w:ascii="宋体" w:hAnsi="宋体"/>
                <w:color w:val="auto"/>
                <w:sz w:val="21"/>
                <w:szCs w:val="21"/>
              </w:rPr>
              <w:t>3.</w:t>
            </w:r>
            <w:r>
              <w:rPr>
                <w:rFonts w:ascii="宋体" w:hAnsi="宋体"/>
                <w:color w:val="auto"/>
                <w:sz w:val="21"/>
                <w:szCs w:val="21"/>
              </w:rPr>
              <w:tab/>
            </w:r>
            <w:r>
              <w:rPr>
                <w:rFonts w:ascii="宋体" w:hAnsi="宋体"/>
                <w:color w:val="auto"/>
                <w:sz w:val="21"/>
                <w:szCs w:val="21"/>
              </w:rPr>
              <w:t>投标人提供的货物必须是原制造商制造的全新产品，整机无污染，表面无划伤、无碰撞，无任何缺陷隐患、配件齐全，完全符合国家的有关质量标准，符合招投标文件的要求，并附有产品质量检验合格证书。</w:t>
            </w:r>
          </w:p>
          <w:p w14:paraId="30B33686">
            <w:pPr>
              <w:pStyle w:val="7"/>
              <w:rPr>
                <w:rFonts w:ascii="宋体" w:hAnsi="宋体"/>
                <w:color w:val="auto"/>
                <w:sz w:val="21"/>
                <w:szCs w:val="21"/>
              </w:rPr>
            </w:pPr>
            <w:r>
              <w:rPr>
                <w:rFonts w:ascii="宋体" w:hAnsi="宋体"/>
                <w:color w:val="auto"/>
                <w:sz w:val="21"/>
                <w:szCs w:val="21"/>
              </w:rPr>
              <w:t>4.</w:t>
            </w:r>
            <w:r>
              <w:rPr>
                <w:rFonts w:ascii="宋体" w:hAnsi="宋体"/>
                <w:color w:val="auto"/>
                <w:sz w:val="21"/>
                <w:szCs w:val="21"/>
              </w:rPr>
              <w:tab/>
            </w:r>
            <w:r>
              <w:rPr>
                <w:rFonts w:ascii="宋体" w:hAnsi="宋体"/>
                <w:color w:val="auto"/>
                <w:sz w:val="21"/>
                <w:szCs w:val="21"/>
              </w:rPr>
              <w:t>货物为原厂商未启封全新包装产品，具备出厂合格证，序列号、包装箱号和出厂批号，并可</w:t>
            </w:r>
            <w:r>
              <w:rPr>
                <w:rFonts w:ascii="宋体" w:hAnsi="宋体"/>
                <w:color w:val="auto"/>
                <w:sz w:val="21"/>
                <w:szCs w:val="21"/>
                <w:lang w:eastAsia="zh-CN"/>
              </w:rPr>
              <w:t>追溯</w:t>
            </w:r>
            <w:r>
              <w:rPr>
                <w:rFonts w:ascii="宋体" w:hAnsi="宋体"/>
                <w:color w:val="auto"/>
                <w:sz w:val="21"/>
                <w:szCs w:val="21"/>
              </w:rPr>
              <w:t>查阅。投标人应将关键主机设备的用户手册、保修手册、有关单证资料及配备件、随机工具等单独包装交付给采购人，使用操作及安全须知等重要资料应附有中文说明。</w:t>
            </w:r>
          </w:p>
          <w:p w14:paraId="4DF6C457">
            <w:pPr>
              <w:pStyle w:val="7"/>
              <w:rPr>
                <w:rFonts w:ascii="宋体" w:hAnsi="宋体"/>
                <w:color w:val="auto"/>
                <w:sz w:val="21"/>
                <w:szCs w:val="21"/>
              </w:rPr>
            </w:pPr>
            <w:r>
              <w:rPr>
                <w:rFonts w:ascii="宋体" w:hAnsi="宋体"/>
                <w:color w:val="auto"/>
                <w:sz w:val="21"/>
                <w:szCs w:val="21"/>
              </w:rPr>
              <w:t>5.若投标人提供的随机文件不完整或不符合要求，采购人有权要求投标人在规定时间内补齐或重新提供符合要求的文件。若因此导致设备无法正常使用或验收延迟，投标人应承担相应责任，并赔偿采购人因此遭受的全部损失。</w:t>
            </w:r>
          </w:p>
        </w:tc>
      </w:tr>
      <w:tr w14:paraId="3F178A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center"/>
          </w:tcPr>
          <w:p w14:paraId="54208845">
            <w:pPr>
              <w:pStyle w:val="7"/>
              <w:rPr>
                <w:rFonts w:ascii="宋体" w:hAnsi="宋体"/>
                <w:color w:val="auto"/>
                <w:sz w:val="21"/>
                <w:szCs w:val="21"/>
                <w:lang w:eastAsia="zh-CN"/>
              </w:rPr>
            </w:pPr>
            <w:r>
              <w:rPr>
                <w:rFonts w:ascii="宋体" w:hAnsi="宋体"/>
                <w:color w:val="auto"/>
                <w:sz w:val="21"/>
                <w:szCs w:val="21"/>
              </w:rPr>
              <w:t>包装运输及货物搬运</w:t>
            </w:r>
          </w:p>
        </w:tc>
        <w:tc>
          <w:tcPr>
            <w:tcW w:w="6638" w:type="dxa"/>
            <w:noWrap w:val="0"/>
            <w:vAlign w:val="center"/>
          </w:tcPr>
          <w:p w14:paraId="4E230867">
            <w:pPr>
              <w:pStyle w:val="7"/>
              <w:rPr>
                <w:rFonts w:ascii="宋体" w:hAnsi="宋体"/>
                <w:color w:val="auto"/>
                <w:sz w:val="21"/>
                <w:szCs w:val="21"/>
              </w:rPr>
            </w:pPr>
            <w:r>
              <w:rPr>
                <w:rStyle w:val="8"/>
                <w:rFonts w:ascii="宋体" w:hAnsi="宋体" w:eastAsia="宋体"/>
                <w:color w:val="auto"/>
                <w:sz w:val="21"/>
                <w:szCs w:val="21"/>
              </w:rPr>
              <w:t>1.</w:t>
            </w:r>
            <w:r>
              <w:rPr>
                <w:rStyle w:val="9"/>
                <w:rFonts w:hint="eastAsia" w:ascii="宋体" w:hAnsi="宋体"/>
                <w:color w:val="auto"/>
                <w:sz w:val="21"/>
                <w:szCs w:val="21"/>
              </w:rPr>
              <w:t xml:space="preserve"> </w:t>
            </w:r>
            <w:r>
              <w:rPr>
                <w:rStyle w:val="8"/>
                <w:rFonts w:ascii="宋体" w:hAnsi="宋体" w:eastAsia="宋体"/>
                <w:color w:val="auto"/>
                <w:sz w:val="21"/>
                <w:szCs w:val="21"/>
              </w:rPr>
              <w:t>设备的包装必须是制造商原厂包装，包装箱应坚固、防潮、防锈、防震、防粗暴装卸，适于海、陆运输和整体吊装，保证产品运抵使用现场后设备结构、功能完好无损。进口产品，则木质包装需经熏蒸处理，并标注IPPC标识。</w:t>
            </w:r>
            <w:r>
              <w:rPr>
                <w:rFonts w:ascii="宋体" w:hAnsi="宋体"/>
                <w:color w:val="auto"/>
                <w:sz w:val="21"/>
                <w:szCs w:val="21"/>
              </w:rPr>
              <w:br w:type="textWrapping"/>
            </w:r>
            <w:r>
              <w:rPr>
                <w:rStyle w:val="8"/>
                <w:rFonts w:ascii="宋体" w:hAnsi="宋体" w:eastAsia="宋体"/>
                <w:color w:val="auto"/>
                <w:sz w:val="21"/>
                <w:szCs w:val="21"/>
              </w:rPr>
              <w:t>2.</w:t>
            </w:r>
            <w:r>
              <w:rPr>
                <w:rStyle w:val="9"/>
                <w:rFonts w:hint="eastAsia" w:ascii="宋体" w:hAnsi="宋体"/>
                <w:color w:val="auto"/>
                <w:sz w:val="21"/>
                <w:szCs w:val="21"/>
              </w:rPr>
              <w:t xml:space="preserve"> </w:t>
            </w:r>
            <w:r>
              <w:rPr>
                <w:rStyle w:val="10"/>
                <w:rFonts w:ascii="宋体" w:hAnsi="宋体" w:eastAsia="宋体"/>
                <w:color w:val="auto"/>
                <w:sz w:val="21"/>
                <w:szCs w:val="21"/>
              </w:rPr>
              <w:t>进口产品，</w:t>
            </w:r>
            <w:r>
              <w:rPr>
                <w:rStyle w:val="8"/>
                <w:rFonts w:ascii="宋体" w:hAnsi="宋体" w:eastAsia="宋体"/>
                <w:color w:val="auto"/>
                <w:sz w:val="21"/>
                <w:szCs w:val="21"/>
              </w:rPr>
              <w:t>包装材料必须符合中国有关进出口检验检疫的规定。凡由于包装不良造成的损失和由此产生的费用均由</w:t>
            </w:r>
            <w:r>
              <w:rPr>
                <w:rStyle w:val="8"/>
                <w:rFonts w:ascii="宋体" w:hAnsi="宋体" w:eastAsia="宋体"/>
                <w:color w:val="auto"/>
                <w:sz w:val="21"/>
                <w:szCs w:val="21"/>
                <w:lang w:eastAsia="zh-CN"/>
              </w:rPr>
              <w:t>中标供应商</w:t>
            </w:r>
            <w:r>
              <w:rPr>
                <w:rStyle w:val="8"/>
                <w:rFonts w:ascii="宋体" w:hAnsi="宋体" w:eastAsia="宋体"/>
                <w:color w:val="auto"/>
                <w:sz w:val="21"/>
                <w:szCs w:val="21"/>
              </w:rPr>
              <w:t xml:space="preserve">承担。 </w:t>
            </w:r>
            <w:r>
              <w:rPr>
                <w:rFonts w:ascii="宋体" w:hAnsi="宋体"/>
                <w:color w:val="auto"/>
                <w:sz w:val="21"/>
                <w:szCs w:val="21"/>
              </w:rPr>
              <w:br w:type="textWrapping"/>
            </w:r>
            <w:r>
              <w:rPr>
                <w:rStyle w:val="8"/>
                <w:rFonts w:ascii="宋体" w:hAnsi="宋体" w:eastAsia="宋体"/>
                <w:color w:val="auto"/>
                <w:sz w:val="21"/>
                <w:szCs w:val="21"/>
              </w:rPr>
              <w:t>3.</w:t>
            </w:r>
            <w:r>
              <w:rPr>
                <w:rStyle w:val="9"/>
                <w:rFonts w:hint="eastAsia" w:ascii="宋体" w:hAnsi="宋体"/>
                <w:color w:val="auto"/>
                <w:sz w:val="21"/>
                <w:szCs w:val="21"/>
              </w:rPr>
              <w:t xml:space="preserve"> </w:t>
            </w:r>
            <w:r>
              <w:rPr>
                <w:rStyle w:val="8"/>
                <w:rFonts w:ascii="宋体" w:hAnsi="宋体" w:eastAsia="宋体"/>
                <w:color w:val="auto"/>
                <w:sz w:val="21"/>
                <w:szCs w:val="21"/>
              </w:rPr>
              <w:t>由</w:t>
            </w:r>
            <w:r>
              <w:rPr>
                <w:rStyle w:val="8"/>
                <w:rFonts w:ascii="宋体" w:hAnsi="宋体" w:eastAsia="宋体"/>
                <w:color w:val="auto"/>
                <w:sz w:val="21"/>
                <w:szCs w:val="21"/>
                <w:lang w:eastAsia="zh-CN"/>
              </w:rPr>
              <w:t>中标供应商</w:t>
            </w:r>
            <w:r>
              <w:rPr>
                <w:rStyle w:val="8"/>
                <w:rFonts w:ascii="宋体" w:hAnsi="宋体" w:eastAsia="宋体"/>
                <w:color w:val="auto"/>
                <w:sz w:val="21"/>
                <w:szCs w:val="21"/>
              </w:rPr>
              <w:t>负责组织落实设备搬运工作，包括但不限于拆装、封装、人力上下楼搬运、叉车、起重机等专用机械运输等。</w:t>
            </w:r>
            <w:r>
              <w:rPr>
                <w:rFonts w:ascii="宋体" w:hAnsi="宋体"/>
                <w:color w:val="auto"/>
                <w:sz w:val="21"/>
                <w:szCs w:val="21"/>
              </w:rPr>
              <w:br w:type="textWrapping"/>
            </w:r>
            <w:r>
              <w:rPr>
                <w:rStyle w:val="8"/>
                <w:rFonts w:ascii="宋体" w:hAnsi="宋体" w:eastAsia="宋体"/>
                <w:color w:val="auto"/>
                <w:sz w:val="21"/>
                <w:szCs w:val="21"/>
              </w:rPr>
              <w:t>4.</w:t>
            </w:r>
            <w:r>
              <w:rPr>
                <w:rStyle w:val="9"/>
                <w:rFonts w:hint="eastAsia" w:ascii="宋体" w:hAnsi="宋体"/>
                <w:color w:val="auto"/>
                <w:sz w:val="21"/>
                <w:szCs w:val="21"/>
              </w:rPr>
              <w:t xml:space="preserve"> </w:t>
            </w:r>
            <w:r>
              <w:rPr>
                <w:rStyle w:val="8"/>
                <w:rFonts w:ascii="宋体" w:hAnsi="宋体" w:eastAsia="宋体"/>
                <w:color w:val="auto"/>
                <w:sz w:val="21"/>
                <w:szCs w:val="21"/>
              </w:rPr>
              <w:t>搬运期间的工具、材料和人员等费用全部由</w:t>
            </w:r>
            <w:r>
              <w:rPr>
                <w:rStyle w:val="8"/>
                <w:rFonts w:ascii="宋体" w:hAnsi="宋体" w:eastAsia="宋体"/>
                <w:color w:val="auto"/>
                <w:sz w:val="21"/>
                <w:szCs w:val="21"/>
                <w:lang w:eastAsia="zh-CN"/>
              </w:rPr>
              <w:t>中标供应商</w:t>
            </w:r>
            <w:r>
              <w:rPr>
                <w:rStyle w:val="8"/>
                <w:rFonts w:ascii="宋体" w:hAnsi="宋体" w:eastAsia="宋体"/>
                <w:color w:val="auto"/>
                <w:sz w:val="21"/>
                <w:szCs w:val="21"/>
              </w:rPr>
              <w:t>负责，与采购人无关。</w:t>
            </w:r>
            <w:r>
              <w:rPr>
                <w:rFonts w:ascii="宋体" w:hAnsi="宋体"/>
                <w:color w:val="auto"/>
                <w:sz w:val="21"/>
                <w:szCs w:val="21"/>
              </w:rPr>
              <w:br w:type="textWrapping"/>
            </w:r>
            <w:r>
              <w:rPr>
                <w:rStyle w:val="8"/>
                <w:rFonts w:ascii="宋体" w:hAnsi="宋体" w:eastAsia="宋体"/>
                <w:color w:val="auto"/>
                <w:sz w:val="21"/>
                <w:szCs w:val="21"/>
              </w:rPr>
              <w:t>5.</w:t>
            </w:r>
            <w:r>
              <w:rPr>
                <w:rStyle w:val="9"/>
                <w:rFonts w:hint="eastAsia" w:ascii="宋体" w:hAnsi="宋体"/>
                <w:color w:val="auto"/>
                <w:sz w:val="21"/>
                <w:szCs w:val="21"/>
              </w:rPr>
              <w:t xml:space="preserve"> </w:t>
            </w:r>
            <w:r>
              <w:rPr>
                <w:rStyle w:val="8"/>
                <w:rFonts w:ascii="宋体" w:hAnsi="宋体" w:eastAsia="宋体"/>
                <w:color w:val="auto"/>
                <w:sz w:val="21"/>
                <w:szCs w:val="21"/>
              </w:rPr>
              <w:t>如搬运过程中出现伤亡、雇佣、工资</w:t>
            </w:r>
            <w:r>
              <w:rPr>
                <w:rStyle w:val="11"/>
                <w:rFonts w:ascii="宋体" w:hAnsi="宋体" w:eastAsia="宋体"/>
                <w:color w:val="auto"/>
                <w:sz w:val="21"/>
                <w:szCs w:val="21"/>
              </w:rPr>
              <w:t>、财产损毁</w:t>
            </w:r>
            <w:r>
              <w:rPr>
                <w:rStyle w:val="8"/>
                <w:rFonts w:ascii="宋体" w:hAnsi="宋体" w:eastAsia="宋体"/>
                <w:color w:val="auto"/>
                <w:sz w:val="21"/>
                <w:szCs w:val="21"/>
              </w:rPr>
              <w:t>等费用及责任纠纷由</w:t>
            </w:r>
            <w:r>
              <w:rPr>
                <w:rStyle w:val="8"/>
                <w:rFonts w:ascii="宋体" w:hAnsi="宋体" w:eastAsia="宋体"/>
                <w:color w:val="auto"/>
                <w:sz w:val="21"/>
                <w:szCs w:val="21"/>
                <w:lang w:eastAsia="zh-CN"/>
              </w:rPr>
              <w:t>中标供应商</w:t>
            </w:r>
            <w:r>
              <w:rPr>
                <w:rStyle w:val="8"/>
                <w:rFonts w:ascii="宋体" w:hAnsi="宋体" w:eastAsia="宋体"/>
                <w:color w:val="auto"/>
                <w:sz w:val="21"/>
                <w:szCs w:val="21"/>
              </w:rPr>
              <w:t>承担，与采购人无关。特殊情况下采购人代为支付的，可以向</w:t>
            </w:r>
            <w:r>
              <w:rPr>
                <w:rStyle w:val="8"/>
                <w:rFonts w:ascii="宋体" w:hAnsi="宋体" w:eastAsia="宋体"/>
                <w:color w:val="auto"/>
                <w:sz w:val="21"/>
                <w:szCs w:val="21"/>
                <w:lang w:eastAsia="zh-CN"/>
              </w:rPr>
              <w:t>中标供应商</w:t>
            </w:r>
            <w:r>
              <w:rPr>
                <w:rStyle w:val="8"/>
                <w:rFonts w:ascii="宋体" w:hAnsi="宋体" w:eastAsia="宋体"/>
                <w:color w:val="auto"/>
                <w:sz w:val="21"/>
                <w:szCs w:val="21"/>
              </w:rPr>
              <w:t>追偿。</w:t>
            </w:r>
            <w:r>
              <w:rPr>
                <w:rFonts w:ascii="宋体" w:hAnsi="宋体"/>
                <w:color w:val="auto"/>
                <w:sz w:val="21"/>
                <w:szCs w:val="21"/>
              </w:rPr>
              <w:br w:type="textWrapping"/>
            </w:r>
            <w:r>
              <w:rPr>
                <w:rStyle w:val="8"/>
                <w:rFonts w:ascii="宋体" w:hAnsi="宋体" w:eastAsia="宋体"/>
                <w:color w:val="auto"/>
                <w:sz w:val="21"/>
                <w:szCs w:val="21"/>
              </w:rPr>
              <w:t>6.</w:t>
            </w:r>
            <w:r>
              <w:rPr>
                <w:rStyle w:val="9"/>
                <w:rFonts w:hint="eastAsia" w:ascii="宋体" w:hAnsi="宋体"/>
                <w:color w:val="auto"/>
                <w:sz w:val="21"/>
                <w:szCs w:val="21"/>
              </w:rPr>
              <w:t xml:space="preserve"> </w:t>
            </w:r>
            <w:r>
              <w:rPr>
                <w:rStyle w:val="8"/>
                <w:rFonts w:ascii="宋体" w:hAnsi="宋体" w:eastAsia="宋体"/>
                <w:color w:val="auto"/>
                <w:sz w:val="21"/>
                <w:szCs w:val="21"/>
              </w:rPr>
              <w:t>按采购人要求到达采购人指定位置后，于设备安装调试前进行开箱验收。</w:t>
            </w:r>
          </w:p>
        </w:tc>
      </w:tr>
      <w:tr w14:paraId="2386F2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center"/>
          </w:tcPr>
          <w:p w14:paraId="7A98E77C">
            <w:pPr>
              <w:pStyle w:val="7"/>
              <w:rPr>
                <w:rFonts w:ascii="宋体" w:hAnsi="宋体"/>
                <w:color w:val="auto"/>
                <w:sz w:val="21"/>
                <w:szCs w:val="21"/>
                <w:lang w:eastAsia="zh-CN"/>
              </w:rPr>
            </w:pPr>
            <w:r>
              <w:rPr>
                <w:rFonts w:ascii="宋体" w:hAnsi="宋体"/>
                <w:color w:val="auto"/>
                <w:sz w:val="21"/>
                <w:szCs w:val="21"/>
              </w:rPr>
              <w:t>设备接收</w:t>
            </w:r>
          </w:p>
        </w:tc>
        <w:tc>
          <w:tcPr>
            <w:tcW w:w="6638" w:type="dxa"/>
            <w:noWrap w:val="0"/>
            <w:vAlign w:val="center"/>
          </w:tcPr>
          <w:p w14:paraId="122BB64B">
            <w:pPr>
              <w:pStyle w:val="7"/>
              <w:rPr>
                <w:rFonts w:ascii="宋体" w:hAnsi="宋体"/>
                <w:color w:val="auto"/>
                <w:sz w:val="21"/>
                <w:szCs w:val="21"/>
              </w:rPr>
            </w:pPr>
            <w:r>
              <w:rPr>
                <w:rStyle w:val="12"/>
                <w:rFonts w:ascii="宋体" w:hAnsi="宋体" w:eastAsia="宋体"/>
                <w:color w:val="auto"/>
                <w:sz w:val="21"/>
                <w:szCs w:val="21"/>
              </w:rPr>
              <w:t>1.</w:t>
            </w:r>
            <w:r>
              <w:rPr>
                <w:rStyle w:val="8"/>
                <w:rFonts w:ascii="宋体" w:hAnsi="宋体" w:eastAsia="宋体"/>
                <w:color w:val="auto"/>
                <w:sz w:val="21"/>
                <w:szCs w:val="21"/>
              </w:rPr>
              <w:t>货物</w:t>
            </w:r>
            <w:r>
              <w:rPr>
                <w:rStyle w:val="12"/>
                <w:rFonts w:ascii="宋体" w:hAnsi="宋体" w:eastAsia="宋体"/>
                <w:color w:val="auto"/>
                <w:sz w:val="21"/>
                <w:szCs w:val="21"/>
              </w:rPr>
              <w:t>运抵安装现场后，以投标人提供的装箱单为依据，在外包装完好的前提下，清点核对包装数量、尺寸和重量等明细信息，如实收货物与装箱单完全相符，采购人签收设备接收单。</w:t>
            </w:r>
            <w:r>
              <w:rPr>
                <w:rFonts w:ascii="宋体" w:hAnsi="宋体"/>
                <w:color w:val="auto"/>
                <w:sz w:val="21"/>
                <w:szCs w:val="21"/>
              </w:rPr>
              <w:br w:type="textWrapping"/>
            </w:r>
            <w:r>
              <w:rPr>
                <w:rStyle w:val="12"/>
                <w:rFonts w:ascii="宋体" w:hAnsi="宋体" w:eastAsia="宋体"/>
                <w:color w:val="auto"/>
                <w:sz w:val="21"/>
                <w:szCs w:val="21"/>
              </w:rPr>
              <w:t>2.货物接收单仅作为货物到场的凭证，不视为采购人对货物质量、数量、技术指标等的最终认可。如出现差异，采购人出具货物短缺或破损报告，投标人负责解决相关索赔事宜，赔偿包括但不限于货物更换、补足费用等所有损失。</w:t>
            </w:r>
            <w:r>
              <w:rPr>
                <w:rFonts w:ascii="宋体" w:hAnsi="宋体"/>
                <w:color w:val="auto"/>
                <w:sz w:val="21"/>
                <w:szCs w:val="21"/>
              </w:rPr>
              <w:br w:type="textWrapping"/>
            </w:r>
            <w:r>
              <w:rPr>
                <w:rStyle w:val="12"/>
                <w:rFonts w:ascii="宋体" w:hAnsi="宋体" w:eastAsia="宋体"/>
                <w:color w:val="auto"/>
                <w:sz w:val="21"/>
                <w:szCs w:val="21"/>
              </w:rPr>
              <w:t>3.采购人完成</w:t>
            </w:r>
            <w:r>
              <w:rPr>
                <w:rStyle w:val="8"/>
                <w:rFonts w:ascii="宋体" w:hAnsi="宋体" w:eastAsia="宋体"/>
                <w:color w:val="auto"/>
                <w:sz w:val="21"/>
                <w:szCs w:val="21"/>
              </w:rPr>
              <w:t>货物</w:t>
            </w:r>
            <w:r>
              <w:rPr>
                <w:rStyle w:val="12"/>
                <w:rFonts w:ascii="宋体" w:hAnsi="宋体" w:eastAsia="宋体"/>
                <w:color w:val="auto"/>
                <w:sz w:val="21"/>
                <w:szCs w:val="21"/>
              </w:rPr>
              <w:t>接收后，保持原出厂包装存放现场，</w:t>
            </w:r>
            <w:r>
              <w:rPr>
                <w:rStyle w:val="8"/>
                <w:rFonts w:ascii="宋体" w:hAnsi="宋体" w:eastAsia="宋体"/>
                <w:color w:val="auto"/>
                <w:sz w:val="21"/>
                <w:szCs w:val="21"/>
              </w:rPr>
              <w:t>货物</w:t>
            </w:r>
            <w:r>
              <w:rPr>
                <w:rStyle w:val="12"/>
                <w:rFonts w:ascii="宋体" w:hAnsi="宋体" w:eastAsia="宋体"/>
                <w:color w:val="auto"/>
                <w:sz w:val="21"/>
                <w:szCs w:val="21"/>
              </w:rPr>
              <w:t>安装前，</w:t>
            </w:r>
            <w:r>
              <w:rPr>
                <w:rStyle w:val="8"/>
                <w:rFonts w:ascii="宋体" w:hAnsi="宋体" w:eastAsia="宋体"/>
                <w:color w:val="auto"/>
                <w:sz w:val="21"/>
                <w:szCs w:val="21"/>
              </w:rPr>
              <w:t>采购人</w:t>
            </w:r>
            <w:r>
              <w:rPr>
                <w:rStyle w:val="8"/>
                <w:rFonts w:ascii="宋体" w:hAnsi="宋体" w:eastAsia="宋体"/>
                <w:color w:val="auto"/>
                <w:sz w:val="21"/>
                <w:szCs w:val="21"/>
                <w:lang w:eastAsia="zh-CN"/>
              </w:rPr>
              <w:t>中标供应商</w:t>
            </w:r>
            <w:r>
              <w:rPr>
                <w:rStyle w:val="8"/>
                <w:rFonts w:ascii="宋体" w:hAnsi="宋体" w:eastAsia="宋体"/>
                <w:color w:val="auto"/>
                <w:sz w:val="21"/>
                <w:szCs w:val="21"/>
              </w:rPr>
              <w:t>双方</w:t>
            </w:r>
            <w:r>
              <w:rPr>
                <w:rStyle w:val="12"/>
                <w:rFonts w:ascii="宋体" w:hAnsi="宋体" w:eastAsia="宋体"/>
                <w:color w:val="auto"/>
                <w:sz w:val="21"/>
                <w:szCs w:val="21"/>
              </w:rPr>
              <w:t>共同在</w:t>
            </w:r>
            <w:r>
              <w:rPr>
                <w:rStyle w:val="8"/>
                <w:rFonts w:ascii="宋体" w:hAnsi="宋体" w:eastAsia="宋体"/>
                <w:color w:val="auto"/>
                <w:sz w:val="21"/>
                <w:szCs w:val="21"/>
              </w:rPr>
              <w:t>货物</w:t>
            </w:r>
            <w:r>
              <w:rPr>
                <w:rStyle w:val="12"/>
                <w:rFonts w:ascii="宋体" w:hAnsi="宋体" w:eastAsia="宋体"/>
                <w:color w:val="auto"/>
                <w:sz w:val="21"/>
                <w:szCs w:val="21"/>
              </w:rPr>
              <w:t>现场开箱检验供货明细。</w:t>
            </w:r>
          </w:p>
        </w:tc>
      </w:tr>
      <w:tr w14:paraId="000AF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center"/>
          </w:tcPr>
          <w:p w14:paraId="11003E13">
            <w:pPr>
              <w:pStyle w:val="7"/>
              <w:rPr>
                <w:rFonts w:ascii="宋体" w:hAnsi="宋体"/>
                <w:color w:val="auto"/>
                <w:sz w:val="21"/>
                <w:szCs w:val="21"/>
                <w:lang w:eastAsia="zh-CN"/>
              </w:rPr>
            </w:pPr>
            <w:r>
              <w:rPr>
                <w:rFonts w:ascii="宋体" w:hAnsi="宋体"/>
                <w:color w:val="auto"/>
                <w:sz w:val="21"/>
                <w:szCs w:val="21"/>
              </w:rPr>
              <w:t>货物安装</w:t>
            </w:r>
          </w:p>
        </w:tc>
        <w:tc>
          <w:tcPr>
            <w:tcW w:w="6638" w:type="dxa"/>
            <w:noWrap w:val="0"/>
            <w:vAlign w:val="center"/>
          </w:tcPr>
          <w:p w14:paraId="284AD472">
            <w:pPr>
              <w:pStyle w:val="7"/>
              <w:rPr>
                <w:rFonts w:ascii="宋体" w:hAnsi="宋体"/>
                <w:color w:val="auto"/>
                <w:sz w:val="21"/>
                <w:szCs w:val="21"/>
              </w:rPr>
            </w:pPr>
            <w:r>
              <w:rPr>
                <w:rFonts w:ascii="宋体" w:hAnsi="宋体"/>
                <w:color w:val="auto"/>
                <w:sz w:val="21"/>
                <w:szCs w:val="21"/>
              </w:rPr>
              <w:t xml:space="preserve">1.投标人应在投标方案中提供货物安装条件要求，明确符合设备要求的安装场地条件，包括但不限于：场地面积、基础承重、电源、水源、特殊气体、特殊环境要求（防震/电磁屏蔽/洁净度等级/温湿度等）等。 </w:t>
            </w:r>
            <w:r>
              <w:rPr>
                <w:rFonts w:ascii="宋体" w:hAnsi="宋体"/>
                <w:color w:val="auto"/>
                <w:sz w:val="21"/>
                <w:szCs w:val="21"/>
              </w:rPr>
              <w:br w:type="textWrapping"/>
            </w:r>
            <w:r>
              <w:rPr>
                <w:rFonts w:ascii="宋体" w:hAnsi="宋体"/>
                <w:color w:val="auto"/>
                <w:sz w:val="21"/>
                <w:szCs w:val="21"/>
              </w:rPr>
              <w:t>2.采购人与</w:t>
            </w:r>
            <w:r>
              <w:rPr>
                <w:rFonts w:ascii="宋体" w:hAnsi="宋体"/>
                <w:color w:val="auto"/>
                <w:sz w:val="21"/>
                <w:szCs w:val="21"/>
                <w:lang w:eastAsia="zh-CN"/>
              </w:rPr>
              <w:t>中标供应商</w:t>
            </w:r>
            <w:r>
              <w:rPr>
                <w:rFonts w:ascii="宋体" w:hAnsi="宋体"/>
                <w:color w:val="auto"/>
                <w:sz w:val="21"/>
                <w:szCs w:val="21"/>
              </w:rPr>
              <w:t>在双方签署的技术协议第三条“实验室货物安装条件要求”中明确双方的责任和义务。</w:t>
            </w:r>
            <w:r>
              <w:rPr>
                <w:rFonts w:ascii="宋体" w:hAnsi="宋体"/>
                <w:color w:val="auto"/>
                <w:sz w:val="21"/>
                <w:szCs w:val="21"/>
              </w:rPr>
              <w:br w:type="textWrapping"/>
            </w:r>
            <w:r>
              <w:rPr>
                <w:rFonts w:ascii="宋体" w:hAnsi="宋体"/>
                <w:color w:val="auto"/>
                <w:sz w:val="21"/>
                <w:szCs w:val="21"/>
              </w:rPr>
              <w:t>（1）采购人责任：采购人在设备安装前提供符合设备要求的安装场地，包括但不限于场地承重、水源/电源/气源接驳点，以及温湿度等条件；</w:t>
            </w:r>
            <w:r>
              <w:rPr>
                <w:rFonts w:ascii="宋体" w:hAnsi="宋体"/>
                <w:color w:val="auto"/>
                <w:sz w:val="21"/>
                <w:szCs w:val="21"/>
              </w:rPr>
              <w:br w:type="textWrapping"/>
            </w:r>
            <w:r>
              <w:rPr>
                <w:rFonts w:ascii="宋体" w:hAnsi="宋体"/>
                <w:color w:val="auto"/>
                <w:sz w:val="21"/>
                <w:szCs w:val="21"/>
              </w:rPr>
              <w:t>（2）</w:t>
            </w:r>
            <w:r>
              <w:rPr>
                <w:rFonts w:ascii="宋体" w:hAnsi="宋体"/>
                <w:color w:val="auto"/>
                <w:sz w:val="21"/>
                <w:szCs w:val="21"/>
                <w:lang w:eastAsia="zh-CN"/>
              </w:rPr>
              <w:t>中标供应商</w:t>
            </w:r>
            <w:r>
              <w:rPr>
                <w:rFonts w:ascii="宋体" w:hAnsi="宋体"/>
                <w:color w:val="auto"/>
                <w:sz w:val="21"/>
                <w:szCs w:val="21"/>
              </w:rPr>
              <w:t>责任：</w:t>
            </w:r>
            <w:r>
              <w:rPr>
                <w:rFonts w:ascii="宋体" w:hAnsi="宋体"/>
                <w:color w:val="auto"/>
                <w:sz w:val="21"/>
                <w:szCs w:val="21"/>
                <w:lang w:eastAsia="zh-CN"/>
              </w:rPr>
              <w:t>中标供应商</w:t>
            </w:r>
            <w:r>
              <w:rPr>
                <w:rFonts w:ascii="宋体" w:hAnsi="宋体"/>
                <w:color w:val="auto"/>
                <w:sz w:val="21"/>
                <w:szCs w:val="21"/>
              </w:rPr>
              <w:t>负责设备与水电接驳点的最终连接（包括电缆、水管等辅材安装），完成设备安装调试及操作培训，并提供安装调试全程技术支持，确保符合安全规范。安装期间的安全责任由</w:t>
            </w:r>
            <w:r>
              <w:rPr>
                <w:rFonts w:ascii="宋体" w:hAnsi="宋体"/>
                <w:color w:val="auto"/>
                <w:sz w:val="21"/>
                <w:szCs w:val="21"/>
                <w:lang w:eastAsia="zh-CN"/>
              </w:rPr>
              <w:t>中标供应商</w:t>
            </w:r>
            <w:r>
              <w:rPr>
                <w:rFonts w:ascii="宋体" w:hAnsi="宋体"/>
                <w:color w:val="auto"/>
                <w:sz w:val="21"/>
                <w:szCs w:val="21"/>
              </w:rPr>
              <w:t>承担，涉及高空/带电等特种作业的须持有效操作证上岗。安装前</w:t>
            </w:r>
            <w:r>
              <w:rPr>
                <w:rFonts w:ascii="宋体" w:hAnsi="宋体"/>
                <w:color w:val="auto"/>
                <w:sz w:val="21"/>
                <w:szCs w:val="21"/>
                <w:lang w:eastAsia="zh-CN"/>
              </w:rPr>
              <w:t>中标供应商</w:t>
            </w:r>
            <w:r>
              <w:rPr>
                <w:rFonts w:ascii="宋体" w:hAnsi="宋体"/>
                <w:color w:val="auto"/>
                <w:sz w:val="21"/>
                <w:szCs w:val="21"/>
              </w:rPr>
              <w:t>提交《安装条件确认书》，《安装条件确认书》中应明确：</w:t>
            </w:r>
            <w:r>
              <w:rPr>
                <w:rFonts w:ascii="宋体" w:hAnsi="宋体"/>
                <w:color w:val="auto"/>
                <w:sz w:val="21"/>
                <w:szCs w:val="21"/>
              </w:rPr>
              <w:br w:type="textWrapping"/>
            </w:r>
            <w:r>
              <w:rPr>
                <w:rFonts w:ascii="宋体" w:hAnsi="宋体"/>
                <w:color w:val="auto"/>
                <w:sz w:val="21"/>
                <w:szCs w:val="21"/>
              </w:rPr>
              <w:t>a.基础承载、水电气接驳点位置及技术参数（电压、水压等）；</w:t>
            </w:r>
            <w:r>
              <w:rPr>
                <w:rFonts w:ascii="宋体" w:hAnsi="宋体"/>
                <w:color w:val="auto"/>
                <w:sz w:val="21"/>
                <w:szCs w:val="21"/>
              </w:rPr>
              <w:br w:type="textWrapping"/>
            </w:r>
            <w:r>
              <w:rPr>
                <w:rFonts w:ascii="宋体" w:hAnsi="宋体"/>
                <w:color w:val="auto"/>
                <w:sz w:val="21"/>
                <w:szCs w:val="21"/>
              </w:rPr>
              <w:t>b.特殊环境要求（防震/电磁屏蔽/洁净度等级）；</w:t>
            </w:r>
            <w:r>
              <w:rPr>
                <w:rFonts w:ascii="宋体" w:hAnsi="宋体"/>
                <w:color w:val="auto"/>
                <w:sz w:val="21"/>
                <w:szCs w:val="21"/>
              </w:rPr>
              <w:br w:type="textWrapping"/>
            </w:r>
            <w:r>
              <w:rPr>
                <w:rFonts w:ascii="宋体" w:hAnsi="宋体"/>
                <w:color w:val="auto"/>
                <w:sz w:val="21"/>
                <w:szCs w:val="21"/>
              </w:rPr>
              <w:t>c.需采购人配合的改造事项及时间节点。</w:t>
            </w:r>
            <w:r>
              <w:rPr>
                <w:rFonts w:ascii="宋体" w:hAnsi="宋体"/>
                <w:color w:val="auto"/>
                <w:sz w:val="21"/>
                <w:szCs w:val="21"/>
              </w:rPr>
              <w:br w:type="textWrapping"/>
            </w:r>
            <w:r>
              <w:rPr>
                <w:rFonts w:ascii="宋体" w:hAnsi="宋体"/>
                <w:color w:val="auto"/>
                <w:sz w:val="21"/>
                <w:szCs w:val="21"/>
              </w:rPr>
              <w:t>3.安装调试的具体时间由采购人提前3天通知</w:t>
            </w:r>
            <w:r>
              <w:rPr>
                <w:rFonts w:ascii="宋体" w:hAnsi="宋体"/>
                <w:color w:val="auto"/>
                <w:sz w:val="21"/>
                <w:szCs w:val="21"/>
                <w:lang w:eastAsia="zh-CN"/>
              </w:rPr>
              <w:t>中标供应商</w:t>
            </w:r>
            <w:r>
              <w:rPr>
                <w:rFonts w:ascii="宋体" w:hAnsi="宋体"/>
                <w:color w:val="auto"/>
                <w:sz w:val="21"/>
                <w:szCs w:val="21"/>
              </w:rPr>
              <w:t>，双方确认《安装条件确认书》中所列条件具备后实施安装。</w:t>
            </w:r>
          </w:p>
        </w:tc>
      </w:tr>
      <w:tr w14:paraId="280AB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28DEE5E7">
            <w:pPr>
              <w:pStyle w:val="7"/>
              <w:rPr>
                <w:rFonts w:ascii="宋体" w:hAnsi="宋体"/>
                <w:color w:val="auto"/>
                <w:sz w:val="21"/>
                <w:szCs w:val="21"/>
                <w:lang w:eastAsia="zh-CN"/>
              </w:rPr>
            </w:pPr>
            <w:r>
              <w:rPr>
                <w:rFonts w:ascii="宋体" w:hAnsi="宋体"/>
                <w:color w:val="auto"/>
                <w:sz w:val="21"/>
                <w:szCs w:val="21"/>
                <w:lang w:eastAsia="zh-CN"/>
              </w:rPr>
              <w:t>技术培训</w:t>
            </w:r>
          </w:p>
        </w:tc>
        <w:tc>
          <w:tcPr>
            <w:tcW w:w="6638" w:type="dxa"/>
            <w:noWrap w:val="0"/>
            <w:vAlign w:val="top"/>
          </w:tcPr>
          <w:p w14:paraId="00D7FD7F">
            <w:pPr>
              <w:pStyle w:val="7"/>
              <w:rPr>
                <w:rFonts w:ascii="宋体" w:hAnsi="宋体"/>
                <w:color w:val="auto"/>
                <w:sz w:val="21"/>
                <w:szCs w:val="21"/>
              </w:rPr>
            </w:pPr>
            <w:r>
              <w:rPr>
                <w:rFonts w:ascii="宋体" w:hAnsi="宋体"/>
                <w:color w:val="auto"/>
                <w:sz w:val="21"/>
                <w:szCs w:val="21"/>
              </w:rPr>
              <w:t>投标人需提供完整的培训计划和方案，列明培训人员数量、达到的水平等，培训内容包括设备原理、操作、数据处理和维护保养的培训等，使用户达到独立操作水平，培训所需全部费用已包含在投标价中。</w:t>
            </w:r>
          </w:p>
        </w:tc>
      </w:tr>
      <w:tr w14:paraId="29FEC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4B4198FD">
            <w:pPr>
              <w:pStyle w:val="7"/>
              <w:rPr>
                <w:rFonts w:ascii="宋体" w:hAnsi="宋体"/>
                <w:color w:val="auto"/>
                <w:sz w:val="21"/>
                <w:szCs w:val="21"/>
                <w:lang w:eastAsia="zh-CN"/>
              </w:rPr>
            </w:pPr>
            <w:r>
              <w:rPr>
                <w:rFonts w:ascii="宋体" w:hAnsi="宋体"/>
                <w:color w:val="auto"/>
                <w:sz w:val="21"/>
                <w:szCs w:val="21"/>
                <w:lang w:eastAsia="zh-CN"/>
              </w:rPr>
              <w:t>质量保质期</w:t>
            </w:r>
          </w:p>
        </w:tc>
        <w:tc>
          <w:tcPr>
            <w:tcW w:w="6638" w:type="dxa"/>
            <w:noWrap w:val="0"/>
            <w:vAlign w:val="top"/>
          </w:tcPr>
          <w:p w14:paraId="1D46677E">
            <w:pPr>
              <w:pStyle w:val="7"/>
              <w:rPr>
                <w:rFonts w:ascii="宋体" w:hAnsi="宋体"/>
                <w:color w:val="auto"/>
                <w:sz w:val="21"/>
                <w:szCs w:val="21"/>
              </w:rPr>
            </w:pPr>
            <w:r>
              <w:rPr>
                <w:rFonts w:ascii="宋体" w:hAnsi="宋体"/>
                <w:color w:val="auto"/>
                <w:sz w:val="21"/>
                <w:szCs w:val="21"/>
              </w:rPr>
              <w:t>1）从中华人民共和国关境内提供的货物,包括关境内制造的货物&amp;投标截止时间前已经进口的货物：以货物到达采购人指定地点作为交货之日，以开箱验收单上到货日期为准；以《技术验收单》最后签字之日作为货物验收合格之日，开始计算质保期。</w:t>
            </w:r>
          </w:p>
          <w:p w14:paraId="37F97EF0">
            <w:pPr>
              <w:pStyle w:val="7"/>
              <w:rPr>
                <w:rFonts w:ascii="宋体" w:hAnsi="宋体"/>
                <w:color w:val="auto"/>
                <w:sz w:val="21"/>
                <w:szCs w:val="21"/>
              </w:rPr>
            </w:pPr>
            <w:r>
              <w:rPr>
                <w:rFonts w:ascii="宋体" w:hAnsi="宋体"/>
                <w:color w:val="auto"/>
                <w:sz w:val="21"/>
                <w:szCs w:val="21"/>
              </w:rPr>
              <w:t>2）从中华人民共和国关境外提供的货物：以正式有效的空运单或者海运提单发货日期作为产品交货之日，以《技术验收单》最后签字之日作为产品验收合格之日，开始计算质保期。</w:t>
            </w:r>
          </w:p>
          <w:p w14:paraId="7D488606">
            <w:pPr>
              <w:pStyle w:val="7"/>
              <w:tabs>
                <w:tab w:val="left" w:pos="3360"/>
              </w:tabs>
              <w:rPr>
                <w:rFonts w:ascii="宋体" w:hAnsi="宋体"/>
                <w:color w:val="auto"/>
                <w:sz w:val="21"/>
                <w:szCs w:val="21"/>
              </w:rPr>
            </w:pPr>
            <w:r>
              <w:rPr>
                <w:rFonts w:ascii="宋体" w:hAnsi="宋体"/>
                <w:color w:val="auto"/>
                <w:sz w:val="21"/>
                <w:szCs w:val="21"/>
              </w:rPr>
              <w:t>1.质量保证期：设备验收合格后≥1年。质量保证期内，如出现质量问题，</w:t>
            </w:r>
            <w:r>
              <w:rPr>
                <w:rFonts w:ascii="宋体" w:hAnsi="宋体"/>
                <w:color w:val="auto"/>
                <w:sz w:val="21"/>
                <w:szCs w:val="21"/>
                <w:lang w:eastAsia="zh-CN"/>
              </w:rPr>
              <w:t>中标供应商</w:t>
            </w:r>
            <w:r>
              <w:rPr>
                <w:rFonts w:ascii="宋体" w:hAnsi="宋体"/>
                <w:color w:val="auto"/>
                <w:sz w:val="21"/>
                <w:szCs w:val="21"/>
              </w:rPr>
              <w:t>承担因此所造成的所有费用。质量保证期满后，</w:t>
            </w:r>
            <w:r>
              <w:rPr>
                <w:rFonts w:ascii="宋体" w:hAnsi="宋体"/>
                <w:color w:val="auto"/>
                <w:sz w:val="21"/>
                <w:szCs w:val="21"/>
                <w:lang w:eastAsia="zh-CN"/>
              </w:rPr>
              <w:t>中标供应商</w:t>
            </w:r>
            <w:r>
              <w:rPr>
                <w:rFonts w:ascii="宋体" w:hAnsi="宋体"/>
                <w:color w:val="auto"/>
                <w:sz w:val="21"/>
                <w:szCs w:val="21"/>
              </w:rPr>
              <w:t>承诺以最优价格提供终身有偿维修服务。在保修期内设备如果出现问题，</w:t>
            </w:r>
            <w:r>
              <w:rPr>
                <w:rFonts w:ascii="宋体" w:hAnsi="宋体"/>
                <w:color w:val="auto"/>
                <w:sz w:val="21"/>
                <w:szCs w:val="21"/>
                <w:lang w:eastAsia="zh-CN"/>
              </w:rPr>
              <w:t>中标供应商</w:t>
            </w:r>
            <w:r>
              <w:rPr>
                <w:rFonts w:ascii="宋体" w:hAnsi="宋体"/>
                <w:color w:val="auto"/>
                <w:sz w:val="21"/>
                <w:szCs w:val="21"/>
              </w:rPr>
              <w:t>应在接到用户要求24小时内给予响应，一般问题应在48小时内解决，重大问题或其他无法迅速解决的问题应在一周内解决或提出明确解决方案。</w:t>
            </w:r>
          </w:p>
          <w:p w14:paraId="48F471B6">
            <w:pPr>
              <w:pStyle w:val="7"/>
              <w:rPr>
                <w:rFonts w:ascii="宋体" w:hAnsi="宋体"/>
                <w:color w:val="auto"/>
                <w:sz w:val="21"/>
                <w:szCs w:val="21"/>
              </w:rPr>
            </w:pPr>
            <w:r>
              <w:rPr>
                <w:rFonts w:ascii="宋体" w:hAnsi="宋体"/>
                <w:color w:val="auto"/>
                <w:sz w:val="21"/>
                <w:szCs w:val="21"/>
              </w:rPr>
              <w:t>2.质量保证期自双方在货物的技术验收单上签字且加盖公章之日起计算。质量保证期内</w:t>
            </w:r>
            <w:r>
              <w:rPr>
                <w:rFonts w:ascii="宋体" w:hAnsi="宋体"/>
                <w:color w:val="auto"/>
                <w:sz w:val="21"/>
                <w:szCs w:val="21"/>
                <w:lang w:eastAsia="zh-CN"/>
              </w:rPr>
              <w:t>中标供应商</w:t>
            </w:r>
            <w:r>
              <w:rPr>
                <w:rFonts w:ascii="宋体" w:hAnsi="宋体"/>
                <w:color w:val="auto"/>
                <w:sz w:val="21"/>
                <w:szCs w:val="21"/>
              </w:rPr>
              <w:t>对所供货物实行包修、包换、包退、包维护保养，保修期后设备维修配件更换只收取成本费用。质保期后</w:t>
            </w:r>
            <w:r>
              <w:rPr>
                <w:rFonts w:ascii="宋体" w:hAnsi="宋体"/>
                <w:color w:val="auto"/>
                <w:sz w:val="21"/>
                <w:szCs w:val="21"/>
                <w:lang w:eastAsia="zh-CN"/>
              </w:rPr>
              <w:t>中标供应商</w:t>
            </w:r>
            <w:r>
              <w:rPr>
                <w:rFonts w:ascii="宋体" w:hAnsi="宋体"/>
                <w:color w:val="auto"/>
                <w:sz w:val="21"/>
                <w:szCs w:val="21"/>
              </w:rPr>
              <w:t>应对设备提供终身优惠的技术服务和备件供应。</w:t>
            </w:r>
          </w:p>
          <w:p w14:paraId="5E529C4F">
            <w:pPr>
              <w:pStyle w:val="7"/>
              <w:rPr>
                <w:rFonts w:ascii="宋体" w:hAnsi="宋体"/>
                <w:color w:val="auto"/>
                <w:sz w:val="21"/>
                <w:szCs w:val="21"/>
              </w:rPr>
            </w:pPr>
            <w:r>
              <w:rPr>
                <w:rFonts w:ascii="宋体" w:hAnsi="宋体"/>
                <w:color w:val="auto"/>
                <w:sz w:val="21"/>
                <w:szCs w:val="21"/>
              </w:rPr>
              <w:t>3.质量保证期内，如设备或零部件因非人为因素出现故障而造成短期停用时，则质量保证期相应顺延。如停用时间累计超过60天则质量保证期重新计算。</w:t>
            </w:r>
          </w:p>
          <w:p w14:paraId="49596FB0">
            <w:pPr>
              <w:pStyle w:val="7"/>
              <w:rPr>
                <w:rFonts w:ascii="宋体" w:hAnsi="宋体"/>
                <w:color w:val="auto"/>
                <w:sz w:val="21"/>
                <w:szCs w:val="21"/>
              </w:rPr>
            </w:pPr>
            <w:r>
              <w:rPr>
                <w:rFonts w:ascii="宋体" w:hAnsi="宋体"/>
                <w:color w:val="auto"/>
                <w:sz w:val="21"/>
                <w:szCs w:val="21"/>
              </w:rPr>
              <w:t>4.在质量保证期内，如货品非因采购人的人为原因而出现的问题由</w:t>
            </w:r>
            <w:r>
              <w:rPr>
                <w:rFonts w:ascii="宋体" w:hAnsi="宋体"/>
                <w:color w:val="auto"/>
                <w:sz w:val="21"/>
                <w:szCs w:val="21"/>
                <w:lang w:eastAsia="zh-CN"/>
              </w:rPr>
              <w:t>中标供应商</w:t>
            </w:r>
            <w:r>
              <w:rPr>
                <w:rFonts w:ascii="宋体" w:hAnsi="宋体"/>
                <w:color w:val="auto"/>
                <w:sz w:val="21"/>
                <w:szCs w:val="21"/>
              </w:rPr>
              <w:t>负责保修、包换或包退，并承担修理、调换或退货的实际费用。</w:t>
            </w:r>
          </w:p>
          <w:p w14:paraId="2E523B9B">
            <w:pPr>
              <w:pStyle w:val="7"/>
              <w:rPr>
                <w:rFonts w:ascii="宋体" w:hAnsi="宋体"/>
                <w:color w:val="auto"/>
                <w:sz w:val="21"/>
                <w:szCs w:val="21"/>
              </w:rPr>
            </w:pPr>
            <w:r>
              <w:rPr>
                <w:rFonts w:ascii="宋体" w:hAnsi="宋体"/>
                <w:color w:val="auto"/>
                <w:sz w:val="21"/>
                <w:szCs w:val="21"/>
              </w:rPr>
              <w:t>5.质量保证期内，</w:t>
            </w:r>
            <w:r>
              <w:rPr>
                <w:rFonts w:ascii="宋体" w:hAnsi="宋体"/>
                <w:color w:val="auto"/>
                <w:sz w:val="21"/>
                <w:szCs w:val="21"/>
                <w:lang w:eastAsia="zh-CN"/>
              </w:rPr>
              <w:t>中标供应商</w:t>
            </w:r>
            <w:r>
              <w:rPr>
                <w:rFonts w:ascii="宋体" w:hAnsi="宋体"/>
                <w:color w:val="auto"/>
                <w:sz w:val="21"/>
                <w:szCs w:val="21"/>
              </w:rPr>
              <w:t>负责对其提供的货物整机进行维修和系统维护，不再收取任何费用，但非</w:t>
            </w:r>
            <w:r>
              <w:rPr>
                <w:rFonts w:ascii="宋体" w:hAnsi="宋体"/>
                <w:color w:val="auto"/>
                <w:sz w:val="21"/>
                <w:szCs w:val="21"/>
                <w:lang w:eastAsia="zh-CN"/>
              </w:rPr>
              <w:t>中标供应商</w:t>
            </w:r>
            <w:r>
              <w:rPr>
                <w:rFonts w:ascii="宋体" w:hAnsi="宋体"/>
                <w:color w:val="auto"/>
                <w:sz w:val="21"/>
                <w:szCs w:val="21"/>
              </w:rPr>
              <w:t>责任的人为因素、自然因素（如火灾、雷击等）造成的故障除外。</w:t>
            </w:r>
          </w:p>
          <w:p w14:paraId="27D2B5FB">
            <w:pPr>
              <w:pStyle w:val="7"/>
              <w:rPr>
                <w:rFonts w:ascii="宋体" w:hAnsi="宋体"/>
                <w:color w:val="auto"/>
                <w:sz w:val="21"/>
                <w:szCs w:val="21"/>
              </w:rPr>
            </w:pPr>
            <w:r>
              <w:rPr>
                <w:rFonts w:ascii="宋体" w:hAnsi="宋体"/>
                <w:color w:val="auto"/>
                <w:sz w:val="21"/>
                <w:szCs w:val="21"/>
              </w:rPr>
              <w:t>6.质量保证期间，同一硬件一个月内连续2次出现同一故障，</w:t>
            </w:r>
            <w:r>
              <w:rPr>
                <w:rFonts w:ascii="宋体" w:hAnsi="宋体"/>
                <w:color w:val="auto"/>
                <w:sz w:val="21"/>
                <w:szCs w:val="21"/>
                <w:lang w:eastAsia="zh-CN"/>
              </w:rPr>
              <w:t>中标供应商</w:t>
            </w:r>
            <w:r>
              <w:rPr>
                <w:rFonts w:ascii="宋体" w:hAnsi="宋体"/>
                <w:color w:val="auto"/>
                <w:sz w:val="21"/>
                <w:szCs w:val="21"/>
              </w:rPr>
              <w:t>须无偿更换同一档次货物。</w:t>
            </w:r>
          </w:p>
          <w:p w14:paraId="3CE43044">
            <w:pPr>
              <w:pStyle w:val="7"/>
              <w:rPr>
                <w:rFonts w:ascii="宋体" w:hAnsi="宋体"/>
                <w:color w:val="auto"/>
                <w:sz w:val="21"/>
                <w:szCs w:val="21"/>
              </w:rPr>
            </w:pPr>
            <w:r>
              <w:rPr>
                <w:rFonts w:ascii="宋体" w:hAnsi="宋体"/>
                <w:color w:val="auto"/>
                <w:sz w:val="21"/>
                <w:szCs w:val="21"/>
              </w:rPr>
              <w:t>7.保修期内或保修期外在不涉及仪器硬件升级的条件下，</w:t>
            </w:r>
            <w:r>
              <w:rPr>
                <w:rFonts w:ascii="宋体" w:hAnsi="宋体"/>
                <w:color w:val="auto"/>
                <w:sz w:val="21"/>
                <w:szCs w:val="21"/>
                <w:lang w:eastAsia="zh-CN"/>
              </w:rPr>
              <w:t>中标供应商</w:t>
            </w:r>
            <w:r>
              <w:rPr>
                <w:rFonts w:ascii="宋体" w:hAnsi="宋体"/>
                <w:color w:val="auto"/>
                <w:sz w:val="21"/>
                <w:szCs w:val="21"/>
              </w:rPr>
              <w:t>提供软件升级服务，所需费用包含在报价中，质保期后设备维修对配件更换只收取成本费用，服务费按最优价格收取。质保期内出现技术标准更新的，投标人应免费提供新版技术资料并负责相应升级改造。</w:t>
            </w:r>
          </w:p>
        </w:tc>
      </w:tr>
      <w:tr w14:paraId="7AA84F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6BC2903C">
            <w:pPr>
              <w:pStyle w:val="7"/>
              <w:rPr>
                <w:rFonts w:ascii="宋体" w:hAnsi="宋体"/>
                <w:color w:val="auto"/>
                <w:sz w:val="21"/>
                <w:szCs w:val="21"/>
                <w:lang w:eastAsia="zh-CN"/>
              </w:rPr>
            </w:pPr>
            <w:r>
              <w:rPr>
                <w:rFonts w:ascii="宋体" w:hAnsi="宋体"/>
                <w:color w:val="auto"/>
                <w:sz w:val="21"/>
                <w:szCs w:val="21"/>
                <w:lang w:eastAsia="zh-CN"/>
              </w:rPr>
              <w:t>不可抗力</w:t>
            </w:r>
          </w:p>
        </w:tc>
        <w:tc>
          <w:tcPr>
            <w:tcW w:w="6638" w:type="dxa"/>
            <w:noWrap w:val="0"/>
            <w:vAlign w:val="top"/>
          </w:tcPr>
          <w:p w14:paraId="04B03A17">
            <w:pPr>
              <w:pStyle w:val="7"/>
              <w:rPr>
                <w:rFonts w:ascii="宋体" w:hAnsi="宋体"/>
                <w:color w:val="auto"/>
                <w:sz w:val="21"/>
                <w:szCs w:val="21"/>
              </w:rPr>
            </w:pPr>
            <w:r>
              <w:rPr>
                <w:rFonts w:ascii="宋体" w:hAnsi="宋体"/>
                <w:color w:val="auto"/>
                <w:sz w:val="21"/>
                <w:szCs w:val="21"/>
              </w:rPr>
              <w:t>1.</w:t>
            </w:r>
            <w:r>
              <w:rPr>
                <w:rFonts w:ascii="宋体" w:hAnsi="宋体"/>
                <w:color w:val="auto"/>
                <w:sz w:val="21"/>
                <w:szCs w:val="21"/>
              </w:rPr>
              <w:tab/>
            </w:r>
            <w:r>
              <w:rPr>
                <w:rFonts w:ascii="宋体" w:hAnsi="宋体"/>
                <w:color w:val="auto"/>
                <w:sz w:val="21"/>
                <w:szCs w:val="21"/>
              </w:rPr>
              <w:t>“不可抗力”系指在缔结合同时无法预见、在执行合同中无法避免、无法控制、不能克服的客观情况，这些事件包括但不限于：洪水、火灾、地震、罢工、战争、流行病、防疫限制和禁运等。</w:t>
            </w:r>
          </w:p>
          <w:p w14:paraId="1F5B7585">
            <w:pPr>
              <w:pStyle w:val="7"/>
              <w:rPr>
                <w:rFonts w:ascii="宋体" w:hAnsi="宋体"/>
                <w:color w:val="auto"/>
                <w:sz w:val="21"/>
                <w:szCs w:val="21"/>
              </w:rPr>
            </w:pPr>
            <w:r>
              <w:rPr>
                <w:rFonts w:ascii="宋体" w:hAnsi="宋体"/>
                <w:color w:val="auto"/>
                <w:sz w:val="21"/>
                <w:szCs w:val="21"/>
              </w:rPr>
              <w:t>2.</w:t>
            </w:r>
            <w:r>
              <w:rPr>
                <w:rFonts w:ascii="宋体" w:hAnsi="宋体"/>
                <w:color w:val="auto"/>
                <w:sz w:val="21"/>
                <w:szCs w:val="21"/>
              </w:rPr>
              <w:tab/>
            </w:r>
            <w:r>
              <w:rPr>
                <w:rFonts w:ascii="宋体" w:hAnsi="宋体"/>
                <w:color w:val="auto"/>
                <w:sz w:val="21"/>
                <w:szCs w:val="21"/>
              </w:rPr>
              <w:t>遭受不可抗力事件的一方应在事件发生后 48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tc>
      </w:tr>
      <w:tr w14:paraId="47F00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65809C5C">
            <w:pPr>
              <w:pStyle w:val="7"/>
              <w:rPr>
                <w:rFonts w:ascii="宋体" w:hAnsi="宋体"/>
                <w:color w:val="auto"/>
                <w:sz w:val="21"/>
                <w:szCs w:val="21"/>
                <w:lang w:eastAsia="zh-CN"/>
              </w:rPr>
            </w:pPr>
            <w:r>
              <w:rPr>
                <w:rFonts w:ascii="宋体" w:hAnsi="宋体"/>
                <w:color w:val="auto"/>
                <w:sz w:val="21"/>
                <w:szCs w:val="21"/>
                <w:lang w:eastAsia="zh-CN"/>
              </w:rPr>
              <w:t>违约责任与赔偿损失</w:t>
            </w:r>
          </w:p>
        </w:tc>
        <w:tc>
          <w:tcPr>
            <w:tcW w:w="6638" w:type="dxa"/>
            <w:noWrap w:val="0"/>
            <w:vAlign w:val="top"/>
          </w:tcPr>
          <w:p w14:paraId="42D01EAF">
            <w:pPr>
              <w:pStyle w:val="7"/>
              <w:rPr>
                <w:rFonts w:ascii="宋体" w:hAnsi="宋体"/>
                <w:color w:val="auto"/>
                <w:sz w:val="21"/>
                <w:szCs w:val="21"/>
              </w:rPr>
            </w:pPr>
            <w:r>
              <w:rPr>
                <w:rFonts w:ascii="宋体" w:hAnsi="宋体"/>
                <w:color w:val="auto"/>
                <w:sz w:val="21"/>
                <w:szCs w:val="21"/>
              </w:rPr>
              <w:t>1.</w:t>
            </w:r>
            <w:r>
              <w:rPr>
                <w:rFonts w:ascii="宋体" w:hAnsi="宋体"/>
                <w:color w:val="auto"/>
                <w:sz w:val="21"/>
                <w:szCs w:val="21"/>
              </w:rPr>
              <w:tab/>
            </w:r>
            <w:r>
              <w:rPr>
                <w:rFonts w:ascii="宋体" w:hAnsi="宋体"/>
                <w:color w:val="auto"/>
                <w:sz w:val="21"/>
                <w:szCs w:val="21"/>
              </w:rPr>
              <w:t>本合同项下货物视为整体，货物的任何部分迟延交付，违约金均应以合同总价作基数计算，即使其对本合同货物的安装、验收、使用等不构成任何影响。</w:t>
            </w:r>
          </w:p>
          <w:p w14:paraId="68FC57F6">
            <w:pPr>
              <w:pStyle w:val="7"/>
              <w:rPr>
                <w:rFonts w:ascii="宋体" w:hAnsi="宋体"/>
                <w:color w:val="auto"/>
                <w:sz w:val="21"/>
                <w:szCs w:val="21"/>
              </w:rPr>
            </w:pPr>
            <w:r>
              <w:rPr>
                <w:rFonts w:ascii="宋体" w:hAnsi="宋体"/>
                <w:color w:val="auto"/>
                <w:sz w:val="21"/>
                <w:szCs w:val="21"/>
              </w:rPr>
              <w:t>2.</w:t>
            </w:r>
            <w:r>
              <w:rPr>
                <w:rFonts w:ascii="宋体" w:hAnsi="宋体"/>
                <w:color w:val="auto"/>
                <w:sz w:val="21"/>
                <w:szCs w:val="21"/>
              </w:rPr>
              <w:tab/>
            </w:r>
            <w:r>
              <w:rPr>
                <w:rFonts w:ascii="宋体" w:hAnsi="宋体"/>
                <w:color w:val="auto"/>
                <w:sz w:val="21"/>
                <w:szCs w:val="21"/>
              </w:rPr>
              <w:t>如果投标人未能按合同约定按时交付货物/服务/配套资料或未能按合同约定按时安装调试的，除本招标文件规定的不可抗力原因外，投标人同意向采购人支付延迟交货违约金，采购人同意延期收货，同时并不免除投标人的交货义务。违约金比例为每7日千分之五，不足7天以7天计，但不超过迟交货物总值的百分之五。采购人有权直接从应付给</w:t>
            </w:r>
            <w:r>
              <w:rPr>
                <w:rFonts w:ascii="宋体" w:hAnsi="宋体"/>
                <w:color w:val="auto"/>
                <w:sz w:val="21"/>
                <w:szCs w:val="21"/>
                <w:lang w:eastAsia="zh-CN"/>
              </w:rPr>
              <w:t>中标供应商</w:t>
            </w:r>
            <w:r>
              <w:rPr>
                <w:rFonts w:ascii="宋体" w:hAnsi="宋体"/>
                <w:color w:val="auto"/>
                <w:sz w:val="21"/>
                <w:szCs w:val="21"/>
              </w:rPr>
              <w:t>的合同款项中扣除该违约金。若逾期交货超过4周，采购人有权选择单方解除合同，相关违约损失由投标人承担。如信用证付款方式，则投标人同意违约金由议付行在议付验收款中扣除。如果由于采购人原因导致延迟交货违约的发生，则</w:t>
            </w:r>
            <w:r>
              <w:rPr>
                <w:rFonts w:ascii="宋体" w:hAnsi="宋体"/>
                <w:color w:val="auto"/>
                <w:sz w:val="21"/>
                <w:szCs w:val="21"/>
                <w:lang w:eastAsia="zh-CN"/>
              </w:rPr>
              <w:t>中标供应商</w:t>
            </w:r>
            <w:r>
              <w:rPr>
                <w:rFonts w:ascii="宋体" w:hAnsi="宋体"/>
                <w:color w:val="auto"/>
                <w:sz w:val="21"/>
                <w:szCs w:val="21"/>
              </w:rPr>
              <w:t>免责。</w:t>
            </w:r>
          </w:p>
          <w:p w14:paraId="58368F25">
            <w:pPr>
              <w:pStyle w:val="7"/>
              <w:rPr>
                <w:rFonts w:ascii="宋体" w:hAnsi="宋体"/>
                <w:color w:val="auto"/>
                <w:sz w:val="21"/>
                <w:szCs w:val="21"/>
              </w:rPr>
            </w:pPr>
            <w:r>
              <w:rPr>
                <w:rFonts w:ascii="宋体" w:hAnsi="宋体"/>
                <w:color w:val="auto"/>
                <w:sz w:val="21"/>
                <w:szCs w:val="21"/>
              </w:rPr>
              <w:t>3.</w:t>
            </w:r>
            <w:r>
              <w:rPr>
                <w:rFonts w:ascii="宋体" w:hAnsi="宋体"/>
                <w:color w:val="auto"/>
                <w:sz w:val="21"/>
                <w:szCs w:val="21"/>
              </w:rPr>
              <w:tab/>
            </w:r>
            <w:r>
              <w:rPr>
                <w:rFonts w:ascii="宋体" w:hAnsi="宋体"/>
                <w:color w:val="auto"/>
                <w:sz w:val="21"/>
                <w:szCs w:val="21"/>
              </w:rPr>
              <w:t>如采购人无正当理由拒收货物，应向</w:t>
            </w:r>
            <w:r>
              <w:rPr>
                <w:rFonts w:ascii="宋体" w:hAnsi="宋体"/>
                <w:color w:val="auto"/>
                <w:sz w:val="21"/>
                <w:szCs w:val="21"/>
                <w:lang w:eastAsia="zh-CN"/>
              </w:rPr>
              <w:t>中标供应商</w:t>
            </w:r>
            <w:r>
              <w:rPr>
                <w:rFonts w:ascii="宋体" w:hAnsi="宋体"/>
                <w:color w:val="auto"/>
                <w:sz w:val="21"/>
                <w:szCs w:val="21"/>
              </w:rPr>
              <w:t>支付拒收货物金额百分之三的违约金。</w:t>
            </w:r>
          </w:p>
          <w:p w14:paraId="50918817">
            <w:pPr>
              <w:pStyle w:val="7"/>
              <w:rPr>
                <w:rFonts w:ascii="宋体" w:hAnsi="宋体"/>
                <w:color w:val="auto"/>
                <w:sz w:val="21"/>
                <w:szCs w:val="21"/>
              </w:rPr>
            </w:pPr>
            <w:r>
              <w:rPr>
                <w:rFonts w:ascii="宋体" w:hAnsi="宋体"/>
                <w:color w:val="auto"/>
                <w:sz w:val="21"/>
                <w:szCs w:val="21"/>
              </w:rPr>
              <w:t>4.采购人应按合同约定支付货款，不得拒付、拖欠，否则因延期付款产生的后果由采购人承担。如采购人无正当理由自验收合格之日起超60日逾期付款的，每逾期一天应计付应付而未付价款的万分之三的违约金，最高不超过相应价款的百分之五。</w:t>
            </w:r>
          </w:p>
          <w:p w14:paraId="40A434E1">
            <w:pPr>
              <w:pStyle w:val="7"/>
              <w:rPr>
                <w:rFonts w:ascii="宋体" w:hAnsi="宋体"/>
                <w:color w:val="auto"/>
                <w:sz w:val="21"/>
                <w:szCs w:val="21"/>
              </w:rPr>
            </w:pPr>
            <w:r>
              <w:rPr>
                <w:rFonts w:ascii="宋体" w:hAnsi="宋体"/>
                <w:color w:val="auto"/>
                <w:sz w:val="21"/>
                <w:szCs w:val="21"/>
              </w:rPr>
              <w:t>5.</w:t>
            </w:r>
            <w:r>
              <w:rPr>
                <w:rFonts w:ascii="宋体" w:hAnsi="宋体"/>
                <w:color w:val="auto"/>
                <w:sz w:val="21"/>
                <w:szCs w:val="21"/>
              </w:rPr>
              <w:tab/>
            </w:r>
            <w:r>
              <w:rPr>
                <w:rFonts w:ascii="宋体" w:hAnsi="宋体"/>
                <w:color w:val="auto"/>
                <w:sz w:val="21"/>
                <w:szCs w:val="21"/>
              </w:rPr>
              <w:t>有下列情形之一，采购人有权解除合同，</w:t>
            </w:r>
            <w:r>
              <w:rPr>
                <w:rFonts w:ascii="宋体" w:hAnsi="宋体"/>
                <w:color w:val="auto"/>
                <w:sz w:val="21"/>
                <w:szCs w:val="21"/>
                <w:lang w:eastAsia="zh-CN"/>
              </w:rPr>
              <w:t>中标供应商</w:t>
            </w:r>
            <w:r>
              <w:rPr>
                <w:rFonts w:ascii="宋体" w:hAnsi="宋体"/>
                <w:color w:val="auto"/>
                <w:sz w:val="21"/>
                <w:szCs w:val="21"/>
              </w:rPr>
              <w:t>需在合同解除之日起10个工作日内，退还采购人所支付全部合同款项，并按合同总价的百分之五向采购人支付违约金：</w:t>
            </w:r>
          </w:p>
          <w:p w14:paraId="37740ADA">
            <w:pPr>
              <w:pStyle w:val="7"/>
              <w:rPr>
                <w:rFonts w:ascii="宋体" w:hAnsi="宋体"/>
                <w:color w:val="auto"/>
                <w:sz w:val="21"/>
                <w:szCs w:val="21"/>
              </w:rPr>
            </w:pPr>
            <w:r>
              <w:rPr>
                <w:rFonts w:ascii="宋体" w:hAnsi="宋体"/>
                <w:color w:val="auto"/>
                <w:sz w:val="21"/>
                <w:szCs w:val="21"/>
              </w:rPr>
              <w:t>（1）</w:t>
            </w:r>
            <w:r>
              <w:rPr>
                <w:rFonts w:ascii="宋体" w:hAnsi="宋体"/>
                <w:color w:val="auto"/>
                <w:sz w:val="21"/>
                <w:szCs w:val="21"/>
              </w:rPr>
              <w:tab/>
            </w:r>
            <w:r>
              <w:rPr>
                <w:rFonts w:ascii="宋体" w:hAnsi="宋体"/>
                <w:color w:val="auto"/>
                <w:sz w:val="21"/>
                <w:szCs w:val="21"/>
                <w:lang w:eastAsia="zh-CN"/>
              </w:rPr>
              <w:t>中标供应商</w:t>
            </w:r>
            <w:r>
              <w:rPr>
                <w:rFonts w:ascii="宋体" w:hAnsi="宋体"/>
                <w:color w:val="auto"/>
                <w:sz w:val="21"/>
                <w:szCs w:val="21"/>
              </w:rPr>
              <w:t>逾期交付关键货物超过4周或其他货物/服务/配套资料超过10周；</w:t>
            </w:r>
          </w:p>
          <w:p w14:paraId="0055A8CD">
            <w:pPr>
              <w:pStyle w:val="7"/>
              <w:rPr>
                <w:rFonts w:ascii="宋体" w:hAnsi="宋体"/>
                <w:color w:val="auto"/>
                <w:sz w:val="21"/>
                <w:szCs w:val="21"/>
              </w:rPr>
            </w:pPr>
            <w:r>
              <w:rPr>
                <w:rFonts w:ascii="宋体" w:hAnsi="宋体"/>
                <w:color w:val="auto"/>
                <w:sz w:val="21"/>
                <w:szCs w:val="21"/>
              </w:rPr>
              <w:t>（2）</w:t>
            </w:r>
            <w:r>
              <w:rPr>
                <w:rFonts w:ascii="宋体" w:hAnsi="宋体"/>
                <w:color w:val="auto"/>
                <w:sz w:val="21"/>
                <w:szCs w:val="21"/>
              </w:rPr>
              <w:tab/>
            </w:r>
            <w:r>
              <w:rPr>
                <w:rFonts w:ascii="宋体" w:hAnsi="宋体"/>
                <w:color w:val="auto"/>
                <w:sz w:val="21"/>
                <w:szCs w:val="21"/>
                <w:lang w:eastAsia="zh-CN"/>
              </w:rPr>
              <w:t>中标供应商</w:t>
            </w:r>
            <w:r>
              <w:rPr>
                <w:rFonts w:ascii="宋体" w:hAnsi="宋体"/>
                <w:color w:val="auto"/>
                <w:sz w:val="21"/>
                <w:szCs w:val="21"/>
              </w:rPr>
              <w:t>在本合同项下提供的货物/服务/配套资料有权利瑕疵，货物被依法查处、查封、罚没的，或因权利瑕疵导致采购人无法实现合同目的、遭受第三方追责的；</w:t>
            </w:r>
          </w:p>
          <w:p w14:paraId="509C1F8F">
            <w:pPr>
              <w:pStyle w:val="7"/>
              <w:rPr>
                <w:rFonts w:ascii="宋体" w:hAnsi="宋体"/>
                <w:color w:val="auto"/>
                <w:sz w:val="21"/>
                <w:szCs w:val="21"/>
              </w:rPr>
            </w:pPr>
            <w:r>
              <w:rPr>
                <w:rFonts w:ascii="宋体" w:hAnsi="宋体"/>
                <w:color w:val="auto"/>
                <w:sz w:val="21"/>
                <w:szCs w:val="21"/>
              </w:rPr>
              <w:t>（3）</w:t>
            </w:r>
            <w:r>
              <w:rPr>
                <w:rFonts w:ascii="宋体" w:hAnsi="宋体"/>
                <w:color w:val="auto"/>
                <w:sz w:val="21"/>
                <w:szCs w:val="21"/>
              </w:rPr>
              <w:tab/>
            </w:r>
            <w:r>
              <w:rPr>
                <w:rFonts w:ascii="宋体" w:hAnsi="宋体"/>
                <w:color w:val="auto"/>
                <w:sz w:val="21"/>
                <w:szCs w:val="21"/>
              </w:rPr>
              <w:t>提供的货物/服务/配套资料不符合本合同规定的。</w:t>
            </w:r>
          </w:p>
          <w:p w14:paraId="24F2B521">
            <w:pPr>
              <w:pStyle w:val="7"/>
              <w:rPr>
                <w:rFonts w:ascii="宋体" w:hAnsi="宋体"/>
                <w:color w:val="auto"/>
                <w:sz w:val="21"/>
                <w:szCs w:val="21"/>
              </w:rPr>
            </w:pPr>
            <w:r>
              <w:rPr>
                <w:rFonts w:ascii="宋体" w:hAnsi="宋体"/>
                <w:color w:val="auto"/>
                <w:sz w:val="21"/>
                <w:szCs w:val="21"/>
              </w:rPr>
              <w:t>6.</w:t>
            </w:r>
            <w:r>
              <w:rPr>
                <w:rFonts w:ascii="宋体" w:hAnsi="宋体"/>
                <w:color w:val="auto"/>
                <w:sz w:val="21"/>
                <w:szCs w:val="21"/>
              </w:rPr>
              <w:tab/>
            </w:r>
            <w:r>
              <w:rPr>
                <w:rFonts w:ascii="宋体" w:hAnsi="宋体"/>
                <w:color w:val="auto"/>
                <w:sz w:val="21"/>
                <w:szCs w:val="21"/>
              </w:rPr>
              <w:t>投标人</w:t>
            </w:r>
            <w:r>
              <w:rPr>
                <w:rFonts w:ascii="宋体" w:hAnsi="宋体"/>
                <w:color w:val="auto"/>
                <w:sz w:val="21"/>
                <w:szCs w:val="21"/>
                <w:lang w:eastAsia="zh-CN"/>
              </w:rPr>
              <w:t>在规定时间内</w:t>
            </w:r>
            <w:r>
              <w:rPr>
                <w:rFonts w:ascii="宋体" w:hAnsi="宋体"/>
                <w:color w:val="auto"/>
                <w:sz w:val="21"/>
                <w:szCs w:val="21"/>
              </w:rPr>
              <w:t>拒绝</w:t>
            </w:r>
            <w:r>
              <w:rPr>
                <w:rFonts w:ascii="宋体" w:hAnsi="宋体"/>
                <w:color w:val="auto"/>
                <w:sz w:val="21"/>
                <w:szCs w:val="21"/>
                <w:lang w:eastAsia="zh-CN"/>
              </w:rPr>
              <w:t>与采购人</w:t>
            </w:r>
            <w:r>
              <w:rPr>
                <w:rFonts w:ascii="宋体" w:hAnsi="宋体"/>
                <w:color w:val="auto"/>
                <w:sz w:val="21"/>
                <w:szCs w:val="21"/>
              </w:rPr>
              <w:t>签订正式书面合同的，采购人有权按中标金额总价的百分之五向投标人要求支付违约金。</w:t>
            </w:r>
          </w:p>
          <w:p w14:paraId="66758F12">
            <w:pPr>
              <w:pStyle w:val="7"/>
              <w:rPr>
                <w:rFonts w:ascii="宋体" w:hAnsi="宋体"/>
                <w:color w:val="auto"/>
                <w:sz w:val="21"/>
                <w:szCs w:val="21"/>
              </w:rPr>
            </w:pPr>
            <w:r>
              <w:rPr>
                <w:rFonts w:ascii="宋体" w:hAnsi="宋体"/>
                <w:color w:val="auto"/>
                <w:sz w:val="21"/>
                <w:szCs w:val="21"/>
              </w:rPr>
              <w:t>7.合同款项的支付完毕并不意味着合同权利义务履行的结束，投标人仍需按合同要求做好质量保证及售后服务工作，如投标人违反合同相关规定，需缴纳违约金，违约金金额为合同总额的百分之五，投标人需在违约行为发生之日起三日内向采购人支付违约金。</w:t>
            </w:r>
          </w:p>
          <w:p w14:paraId="3F7CD7ED">
            <w:pPr>
              <w:pStyle w:val="7"/>
              <w:rPr>
                <w:rFonts w:ascii="宋体" w:hAnsi="宋体"/>
                <w:color w:val="auto"/>
                <w:sz w:val="21"/>
                <w:szCs w:val="21"/>
              </w:rPr>
            </w:pPr>
            <w:r>
              <w:rPr>
                <w:rFonts w:ascii="宋体" w:hAnsi="宋体"/>
                <w:color w:val="auto"/>
                <w:sz w:val="21"/>
                <w:szCs w:val="21"/>
              </w:rPr>
              <w:t>8.</w:t>
            </w:r>
            <w:r>
              <w:rPr>
                <w:rFonts w:ascii="宋体" w:hAnsi="宋体"/>
                <w:color w:val="auto"/>
                <w:sz w:val="21"/>
                <w:szCs w:val="21"/>
              </w:rPr>
              <w:tab/>
            </w:r>
            <w:r>
              <w:rPr>
                <w:rFonts w:ascii="宋体" w:hAnsi="宋体"/>
                <w:color w:val="auto"/>
                <w:sz w:val="21"/>
                <w:szCs w:val="21"/>
              </w:rPr>
              <w:t>除不可抗力原因外，任何一方如造成合同无法继续履行时，应尽早通知其他两方，并商议签署合同终止协议，责任方需赔偿对方由此造成的全部经济损失。</w:t>
            </w:r>
          </w:p>
          <w:p w14:paraId="534515A9">
            <w:pPr>
              <w:pStyle w:val="7"/>
              <w:rPr>
                <w:rFonts w:ascii="宋体" w:hAnsi="宋体"/>
                <w:color w:val="auto"/>
                <w:sz w:val="21"/>
                <w:szCs w:val="21"/>
              </w:rPr>
            </w:pPr>
            <w:r>
              <w:rPr>
                <w:rFonts w:ascii="宋体" w:hAnsi="宋体"/>
                <w:color w:val="auto"/>
                <w:sz w:val="21"/>
                <w:szCs w:val="21"/>
              </w:rPr>
              <w:t>9.</w:t>
            </w:r>
            <w:r>
              <w:rPr>
                <w:rFonts w:ascii="宋体" w:hAnsi="宋体"/>
                <w:color w:val="auto"/>
                <w:sz w:val="21"/>
                <w:szCs w:val="21"/>
              </w:rPr>
              <w:tab/>
            </w:r>
            <w:r>
              <w:rPr>
                <w:rFonts w:ascii="宋体" w:hAnsi="宋体"/>
                <w:color w:val="auto"/>
                <w:sz w:val="21"/>
                <w:szCs w:val="21"/>
              </w:rPr>
              <w:t>采购人</w:t>
            </w:r>
            <w:r>
              <w:rPr>
                <w:rFonts w:ascii="宋体" w:hAnsi="宋体"/>
                <w:color w:val="auto"/>
                <w:sz w:val="21"/>
                <w:szCs w:val="21"/>
                <w:lang w:eastAsia="zh-CN"/>
              </w:rPr>
              <w:t>中标供应商</w:t>
            </w:r>
            <w:r>
              <w:rPr>
                <w:rFonts w:ascii="宋体" w:hAnsi="宋体"/>
                <w:color w:val="auto"/>
                <w:sz w:val="21"/>
                <w:szCs w:val="21"/>
              </w:rPr>
              <w:t>双方承诺本合同内容及采购人科研数据、技术参数等商业秘密不得向第三方透露，双方均负有为对方保密的义务。双方签订的技术协议与合同具有同等法律效力。如违反保密义务的，违约方须向守约方支付违约赔偿金，金额以实际损失为基础，不超过合同总额双倍。若违约金明显高于实际损失，守约方有权请求适当减少。</w:t>
            </w:r>
          </w:p>
          <w:p w14:paraId="49FF0FD2">
            <w:pPr>
              <w:pStyle w:val="7"/>
              <w:rPr>
                <w:rFonts w:ascii="宋体" w:hAnsi="宋体"/>
                <w:color w:val="auto"/>
                <w:sz w:val="21"/>
                <w:szCs w:val="21"/>
              </w:rPr>
            </w:pPr>
            <w:r>
              <w:rPr>
                <w:rFonts w:ascii="宋体" w:hAnsi="宋体"/>
                <w:color w:val="auto"/>
                <w:sz w:val="21"/>
                <w:szCs w:val="21"/>
              </w:rPr>
              <w:t>10.合同任何一方如严重违反合同条款，则其他方有权终止合同。</w:t>
            </w:r>
          </w:p>
          <w:p w14:paraId="5B126AB8">
            <w:pPr>
              <w:pStyle w:val="7"/>
              <w:rPr>
                <w:rFonts w:ascii="宋体" w:hAnsi="宋体"/>
                <w:color w:val="auto"/>
                <w:sz w:val="21"/>
                <w:szCs w:val="21"/>
              </w:rPr>
            </w:pPr>
            <w:r>
              <w:rPr>
                <w:rFonts w:ascii="宋体" w:hAnsi="宋体"/>
                <w:color w:val="auto"/>
                <w:sz w:val="21"/>
                <w:szCs w:val="21"/>
              </w:rPr>
              <w:t>11.</w:t>
            </w:r>
            <w:r>
              <w:rPr>
                <w:rFonts w:ascii="宋体" w:hAnsi="宋体"/>
                <w:color w:val="auto"/>
                <w:sz w:val="21"/>
                <w:szCs w:val="21"/>
              </w:rPr>
              <w:tab/>
            </w:r>
            <w:r>
              <w:rPr>
                <w:rFonts w:ascii="宋体" w:hAnsi="宋体"/>
                <w:color w:val="auto"/>
                <w:sz w:val="21"/>
                <w:szCs w:val="21"/>
              </w:rPr>
              <w:t>其它违约责任按《中华人民共和国民法典》处理。</w:t>
            </w:r>
            <w:r>
              <w:rPr>
                <w:rFonts w:ascii="宋体" w:hAnsi="宋体"/>
                <w:color w:val="auto"/>
                <w:sz w:val="21"/>
                <w:szCs w:val="21"/>
                <w:lang w:eastAsia="zh-CN"/>
              </w:rPr>
              <w:t>中标供应商</w:t>
            </w:r>
            <w:r>
              <w:rPr>
                <w:rFonts w:ascii="宋体" w:hAnsi="宋体"/>
                <w:color w:val="auto"/>
                <w:sz w:val="21"/>
                <w:szCs w:val="21"/>
              </w:rPr>
              <w:t>如因违约导致采购人遭受损失的，采购人有权从应付款项中直接扣除相关赔偿金额。采购人有权依据政府采购相关规定对</w:t>
            </w:r>
            <w:r>
              <w:rPr>
                <w:rFonts w:ascii="宋体" w:hAnsi="宋体"/>
                <w:color w:val="auto"/>
                <w:sz w:val="21"/>
                <w:szCs w:val="21"/>
                <w:lang w:eastAsia="zh-CN"/>
              </w:rPr>
              <w:t>中标供应商</w:t>
            </w:r>
            <w:r>
              <w:rPr>
                <w:rFonts w:ascii="宋体" w:hAnsi="宋体"/>
                <w:color w:val="auto"/>
                <w:sz w:val="21"/>
                <w:szCs w:val="21"/>
              </w:rPr>
              <w:t>不良行为进行记录并向有关部门报告。</w:t>
            </w:r>
          </w:p>
          <w:p w14:paraId="20852E06">
            <w:pPr>
              <w:pStyle w:val="7"/>
              <w:rPr>
                <w:rFonts w:ascii="宋体" w:hAnsi="宋体"/>
                <w:color w:val="auto"/>
                <w:sz w:val="21"/>
                <w:szCs w:val="21"/>
              </w:rPr>
            </w:pPr>
            <w:r>
              <w:rPr>
                <w:rFonts w:ascii="宋体" w:hAnsi="宋体"/>
                <w:color w:val="auto"/>
                <w:sz w:val="21"/>
                <w:szCs w:val="21"/>
              </w:rPr>
              <w:t>12.设备涉及数据采集功能的，</w:t>
            </w:r>
            <w:r>
              <w:rPr>
                <w:rFonts w:ascii="宋体" w:hAnsi="宋体"/>
                <w:color w:val="auto"/>
                <w:sz w:val="21"/>
                <w:szCs w:val="21"/>
                <w:lang w:eastAsia="zh-CN"/>
              </w:rPr>
              <w:t>中标供应商</w:t>
            </w:r>
            <w:r>
              <w:rPr>
                <w:rFonts w:ascii="宋体" w:hAnsi="宋体"/>
                <w:color w:val="auto"/>
                <w:sz w:val="21"/>
                <w:szCs w:val="21"/>
              </w:rPr>
              <w:t>应提供数据本地化存储方案，不得预设任何境外数据传输通道。</w:t>
            </w:r>
          </w:p>
        </w:tc>
      </w:tr>
      <w:tr w14:paraId="4768C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noWrap w:val="0"/>
            <w:vAlign w:val="top"/>
          </w:tcPr>
          <w:p w14:paraId="06F711A9">
            <w:pPr>
              <w:pStyle w:val="7"/>
              <w:rPr>
                <w:rFonts w:ascii="宋体" w:hAnsi="宋体"/>
                <w:color w:val="auto"/>
                <w:sz w:val="21"/>
                <w:szCs w:val="21"/>
                <w:lang w:eastAsia="zh-CN"/>
              </w:rPr>
            </w:pPr>
            <w:r>
              <w:rPr>
                <w:rFonts w:ascii="宋体" w:hAnsi="宋体"/>
                <w:color w:val="auto"/>
                <w:sz w:val="21"/>
                <w:szCs w:val="21"/>
                <w:lang w:eastAsia="zh-CN"/>
              </w:rPr>
              <w:t>知识产权</w:t>
            </w:r>
          </w:p>
        </w:tc>
        <w:tc>
          <w:tcPr>
            <w:tcW w:w="6638" w:type="dxa"/>
            <w:noWrap w:val="0"/>
            <w:vAlign w:val="top"/>
          </w:tcPr>
          <w:p w14:paraId="6B9CEA96">
            <w:pPr>
              <w:pStyle w:val="7"/>
              <w:rPr>
                <w:rFonts w:ascii="宋体" w:hAnsi="宋体"/>
                <w:color w:val="auto"/>
                <w:sz w:val="21"/>
                <w:szCs w:val="21"/>
              </w:rPr>
            </w:pPr>
            <w:r>
              <w:rPr>
                <w:rFonts w:ascii="宋体" w:hAnsi="宋体"/>
                <w:color w:val="auto"/>
                <w:sz w:val="21"/>
                <w:szCs w:val="21"/>
              </w:rPr>
              <w:t>1.</w:t>
            </w:r>
            <w:r>
              <w:rPr>
                <w:rFonts w:ascii="宋体" w:hAnsi="宋体"/>
                <w:color w:val="auto"/>
                <w:sz w:val="21"/>
                <w:szCs w:val="21"/>
              </w:rPr>
              <w:tab/>
            </w:r>
            <w:r>
              <w:rPr>
                <w:rFonts w:ascii="宋体" w:hAnsi="宋体"/>
                <w:color w:val="auto"/>
                <w:sz w:val="21"/>
                <w:szCs w:val="21"/>
                <w:lang w:eastAsia="zh-CN"/>
              </w:rPr>
              <w:t>中标供应商</w:t>
            </w:r>
            <w:r>
              <w:rPr>
                <w:rFonts w:ascii="宋体" w:hAnsi="宋体"/>
                <w:color w:val="auto"/>
                <w:sz w:val="21"/>
                <w:szCs w:val="21"/>
              </w:rPr>
              <w:t>应保证向采购人销售的本采购合同项下的货物或其任何部分不侵犯任何第三方知识产权，并保证采购人购买和正常使用货物过程中免受第三方就知识产权侵权提出的任何纠纷、制裁、索赔或起诉。</w:t>
            </w:r>
          </w:p>
          <w:p w14:paraId="665F4C30">
            <w:pPr>
              <w:pStyle w:val="7"/>
              <w:rPr>
                <w:rFonts w:ascii="宋体" w:hAnsi="宋体"/>
                <w:color w:val="auto"/>
                <w:sz w:val="21"/>
                <w:szCs w:val="21"/>
              </w:rPr>
            </w:pPr>
            <w:r>
              <w:rPr>
                <w:rFonts w:ascii="宋体" w:hAnsi="宋体"/>
                <w:color w:val="auto"/>
                <w:sz w:val="21"/>
                <w:szCs w:val="21"/>
              </w:rPr>
              <w:t>2.</w:t>
            </w:r>
            <w:r>
              <w:rPr>
                <w:rFonts w:ascii="宋体" w:hAnsi="宋体"/>
                <w:color w:val="auto"/>
                <w:sz w:val="21"/>
                <w:szCs w:val="21"/>
              </w:rPr>
              <w:tab/>
            </w:r>
            <w:r>
              <w:rPr>
                <w:rFonts w:ascii="宋体" w:hAnsi="宋体"/>
                <w:color w:val="auto"/>
                <w:sz w:val="21"/>
                <w:szCs w:val="21"/>
              </w:rPr>
              <w:t>采购人不对</w:t>
            </w:r>
            <w:r>
              <w:rPr>
                <w:rFonts w:ascii="宋体" w:hAnsi="宋体"/>
                <w:color w:val="auto"/>
                <w:sz w:val="21"/>
                <w:szCs w:val="21"/>
                <w:lang w:eastAsia="zh-CN"/>
              </w:rPr>
              <w:t>中标供应商</w:t>
            </w:r>
            <w:r>
              <w:rPr>
                <w:rFonts w:ascii="宋体" w:hAnsi="宋体"/>
                <w:color w:val="auto"/>
                <w:sz w:val="21"/>
                <w:szCs w:val="21"/>
              </w:rPr>
              <w:t>提供的货物是否侵犯他人权利负责，如因</w:t>
            </w:r>
            <w:r>
              <w:rPr>
                <w:rFonts w:ascii="宋体" w:hAnsi="宋体"/>
                <w:color w:val="auto"/>
                <w:sz w:val="21"/>
                <w:szCs w:val="21"/>
                <w:lang w:eastAsia="zh-CN"/>
              </w:rPr>
              <w:t>中标供应商</w:t>
            </w:r>
            <w:r>
              <w:rPr>
                <w:rFonts w:ascii="宋体" w:hAnsi="宋体"/>
                <w:color w:val="auto"/>
                <w:sz w:val="21"/>
                <w:szCs w:val="21"/>
              </w:rPr>
              <w:t>提供的货物因任何知识产权问题给采购人造成损失的，无论是执行合同期间或合同到期后的任何时间，</w:t>
            </w:r>
            <w:r>
              <w:rPr>
                <w:rFonts w:ascii="宋体" w:hAnsi="宋体"/>
                <w:color w:val="auto"/>
                <w:sz w:val="21"/>
                <w:szCs w:val="21"/>
                <w:lang w:eastAsia="zh-CN"/>
              </w:rPr>
              <w:t>中标供应商</w:t>
            </w:r>
            <w:r>
              <w:rPr>
                <w:rFonts w:ascii="宋体" w:hAnsi="宋体"/>
                <w:color w:val="auto"/>
                <w:sz w:val="21"/>
                <w:szCs w:val="21"/>
              </w:rPr>
              <w:t>均应负责解决纠纷,并按采购人损失金额的1.5倍进行赔偿。</w:t>
            </w:r>
          </w:p>
          <w:p w14:paraId="5F374E72">
            <w:pPr>
              <w:pStyle w:val="7"/>
              <w:rPr>
                <w:rFonts w:ascii="宋体" w:hAnsi="宋体"/>
                <w:color w:val="auto"/>
                <w:sz w:val="21"/>
                <w:szCs w:val="21"/>
              </w:rPr>
            </w:pPr>
            <w:r>
              <w:rPr>
                <w:rFonts w:ascii="宋体" w:hAnsi="宋体"/>
                <w:color w:val="auto"/>
                <w:sz w:val="21"/>
                <w:szCs w:val="21"/>
              </w:rPr>
              <w:t>3.</w:t>
            </w:r>
            <w:r>
              <w:rPr>
                <w:rFonts w:ascii="宋体" w:hAnsi="宋体"/>
                <w:color w:val="auto"/>
                <w:sz w:val="21"/>
                <w:szCs w:val="21"/>
              </w:rPr>
              <w:tab/>
            </w:r>
            <w:r>
              <w:rPr>
                <w:rFonts w:ascii="宋体" w:hAnsi="宋体"/>
                <w:color w:val="auto"/>
                <w:sz w:val="21"/>
                <w:szCs w:val="21"/>
              </w:rPr>
              <w:t>对于货物的知识产权非</w:t>
            </w:r>
            <w:r>
              <w:rPr>
                <w:rFonts w:ascii="宋体" w:hAnsi="宋体"/>
                <w:color w:val="auto"/>
                <w:sz w:val="21"/>
                <w:szCs w:val="21"/>
                <w:lang w:eastAsia="zh-CN"/>
              </w:rPr>
              <w:t>中标供应商</w:t>
            </w:r>
            <w:r>
              <w:rPr>
                <w:rFonts w:ascii="宋体" w:hAnsi="宋体"/>
                <w:color w:val="auto"/>
                <w:sz w:val="21"/>
                <w:szCs w:val="21"/>
              </w:rPr>
              <w:t>所有的，</w:t>
            </w:r>
            <w:r>
              <w:rPr>
                <w:rFonts w:ascii="宋体" w:hAnsi="宋体"/>
                <w:color w:val="auto"/>
                <w:sz w:val="21"/>
                <w:szCs w:val="21"/>
                <w:lang w:eastAsia="zh-CN"/>
              </w:rPr>
              <w:t>中标供应商</w:t>
            </w:r>
            <w:r>
              <w:rPr>
                <w:rFonts w:ascii="宋体" w:hAnsi="宋体"/>
                <w:color w:val="auto"/>
                <w:sz w:val="21"/>
                <w:szCs w:val="21"/>
              </w:rPr>
              <w:t>应于签约前向采购人提供货物的正规销售授权文件。授权文件应真实、合法、有效，且授权范围覆盖本合同项下全部货物及服务。</w:t>
            </w:r>
          </w:p>
        </w:tc>
      </w:tr>
    </w:tbl>
    <w:p w14:paraId="72C26568">
      <w:pPr>
        <w:rPr>
          <w:rFonts w:hint="default" w:ascii="宋体" w:hAnsi="宋体" w:cs="Courier New"/>
          <w:color w:val="000000"/>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0"/>
    <w:family w:val="swiss"/>
    <w:pitch w:val="default"/>
    <w:sig w:usb0="F7FFAEFF" w:usb1="F9DFFFFF" w:usb2="0000007F" w:usb3="00000000" w:csb0="203F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9320F"/>
    <w:multiLevelType w:val="singleLevel"/>
    <w:tmpl w:val="CA29320F"/>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63604"/>
    <w:rsid w:val="14507177"/>
    <w:rsid w:val="334412F3"/>
    <w:rsid w:val="3E920A9B"/>
    <w:rsid w:val="56CA56C3"/>
    <w:rsid w:val="5F506981"/>
    <w:rsid w:val="5FA63604"/>
    <w:rsid w:val="602C2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9"/>
    <w:pPr>
      <w:keepNext/>
      <w:keepLines/>
      <w:spacing w:before="280" w:after="290" w:line="376" w:lineRule="auto"/>
      <w:outlineLvl w:val="3"/>
    </w:pPr>
    <w:rPr>
      <w:rFonts w:ascii="Cambria" w:hAnsi="Cambria" w:eastAsia="宋体" w:cs="Times New Roman"/>
      <w:b/>
      <w:bCs/>
      <w:szCs w:val="28"/>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character" w:styleId="6">
    <w:name w:val="annotation reference"/>
    <w:qFormat/>
    <w:uiPriority w:val="0"/>
    <w:rPr>
      <w:sz w:val="21"/>
      <w:szCs w:val="21"/>
    </w:rPr>
  </w:style>
  <w:style w:type="paragraph" w:customStyle="1" w:styleId="7">
    <w:name w:val="null3"/>
    <w:qFormat/>
    <w:uiPriority w:val="0"/>
    <w:rPr>
      <w:rFonts w:hint="eastAsia" w:ascii="Calibri" w:hAnsi="Calibri" w:eastAsia="宋体" w:cs="Times New Roman"/>
      <w:lang w:val="en-US" w:eastAsia="zh-Hans" w:bidi="ar-SA"/>
    </w:rPr>
  </w:style>
  <w:style w:type="character" w:customStyle="1" w:styleId="8">
    <w:name w:val="font21"/>
    <w:qFormat/>
    <w:uiPriority w:val="0"/>
    <w:rPr>
      <w:rFonts w:hint="eastAsia" w:ascii="仿宋" w:hAnsi="仿宋" w:eastAsia="仿宋"/>
      <w:color w:val="000000"/>
      <w:sz w:val="24"/>
      <w:szCs w:val="24"/>
      <w:u w:val="none"/>
    </w:rPr>
  </w:style>
  <w:style w:type="character" w:customStyle="1" w:styleId="9">
    <w:name w:val="font31"/>
    <w:qFormat/>
    <w:uiPriority w:val="0"/>
    <w:rPr>
      <w:rFonts w:hint="default" w:ascii="Arial" w:hAnsi="Arial" w:cs="Arial"/>
      <w:color w:val="000000"/>
      <w:sz w:val="24"/>
      <w:szCs w:val="24"/>
      <w:u w:val="none"/>
    </w:rPr>
  </w:style>
  <w:style w:type="character" w:customStyle="1" w:styleId="10">
    <w:name w:val="font41"/>
    <w:qFormat/>
    <w:uiPriority w:val="0"/>
    <w:rPr>
      <w:rFonts w:hint="eastAsia" w:ascii="仿宋" w:hAnsi="仿宋" w:eastAsia="仿宋"/>
      <w:color w:val="000000"/>
      <w:sz w:val="24"/>
      <w:szCs w:val="24"/>
      <w:u w:val="none"/>
    </w:rPr>
  </w:style>
  <w:style w:type="character" w:customStyle="1" w:styleId="11">
    <w:name w:val="font51"/>
    <w:qFormat/>
    <w:uiPriority w:val="0"/>
    <w:rPr>
      <w:rFonts w:hint="eastAsia" w:ascii="仿宋" w:hAnsi="仿宋" w:eastAsia="仿宋"/>
      <w:color w:val="FF00FF"/>
      <w:sz w:val="24"/>
      <w:szCs w:val="24"/>
      <w:u w:val="none"/>
    </w:rPr>
  </w:style>
  <w:style w:type="character" w:customStyle="1" w:styleId="12">
    <w:name w:val="font11"/>
    <w:qFormat/>
    <w:uiPriority w:val="0"/>
    <w:rPr>
      <w:rFonts w:hint="eastAsia" w:ascii="仿宋" w:hAnsi="仿宋" w:eastAsia="仿宋"/>
      <w:color w:val="000000"/>
      <w:sz w:val="24"/>
      <w:szCs w:val="24"/>
      <w:u w:val="none"/>
    </w:rPr>
  </w:style>
  <w:style w:type="paragraph" w:customStyle="1" w:styleId="1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1079</Words>
  <Characters>1293</Characters>
  <Lines>0</Lines>
  <Paragraphs>0</Paragraphs>
  <TotalTime>1</TotalTime>
  <ScaleCrop>false</ScaleCrop>
  <LinksUpToDate>false</LinksUpToDate>
  <CharactersWithSpaces>1304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2026-08-26T03:21:00Z</dcterms:created>
  <dc:creator>zcs</dc:creator>
  <cp:lastModifiedBy>zcs</cp:lastModifiedBy>
  <dcterms:modified xsi:type="dcterms:W3CDTF">2026-08-31T09:51:07Z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5BB4006CD8E44E728F87DFEB424A75B3_11</vt:lpwstr>
  </property>
  <property fmtid="{D5CDD505-2E9C-101B-9397-08002B2CF9AE}" pid="4" name="KSOTemplateDocerSaveRecord">
    <vt:lpwstr>eyJoZGlkIjoiMjk2ZGRkNzhiMGFmNGE4MDgzMDA2M2EwOTczMmY3ZDkiLCJ1c2VySWQiOiI3MDQ1NDIzNDIifQ==</vt:lpwstr>
  </property>
</Properties>
</file>