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hd w:val="clear" w:color="auto" w:fill="FFFFFF"/>
        <w:spacing w:before="0" w:beforeAutospacing="0" w:after="0" w:afterAutospacing="0"/>
        <w:jc w:val="center"/>
        <w:rPr>
          <w:rFonts w:hint="eastAsia"/>
          <w:color w:val="auto"/>
          <w:sz w:val="72"/>
          <w:szCs w:val="72"/>
        </w:rPr>
      </w:pPr>
      <w:bookmarkStart w:id="0" w:name="_Toc116987888"/>
      <w:bookmarkStart w:id="1" w:name="_Toc116988012"/>
      <w:r>
        <w:rPr>
          <w:rFonts w:hint="eastAsia"/>
          <w:color w:val="auto"/>
          <w:szCs w:val="21"/>
        </w:rPr>
        <w:drawing>
          <wp:inline distT="0" distB="0" distL="0" distR="0">
            <wp:extent cx="2042160" cy="2085340"/>
            <wp:effectExtent l="0" t="0" r="0" b="0"/>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2042160" cy="2085886"/>
                    </a:xfrm>
                    <a:prstGeom prst="rect">
                      <a:avLst/>
                    </a:prstGeom>
                    <a:noFill/>
                    <a:ln>
                      <a:noFill/>
                    </a:ln>
                  </pic:spPr>
                </pic:pic>
              </a:graphicData>
            </a:graphic>
          </wp:inline>
        </w:drawing>
      </w:r>
      <w:bookmarkEnd w:id="0"/>
      <w:bookmarkEnd w:id="1"/>
    </w:p>
    <w:p>
      <w:pPr>
        <w:rPr>
          <w:color w:val="auto"/>
        </w:rPr>
      </w:pPr>
    </w:p>
    <w:p>
      <w:pPr>
        <w:jc w:val="center"/>
        <w:rPr>
          <w:rFonts w:hint="eastAsia" w:ascii="宋体" w:hAnsi="宋体" w:eastAsia="宋体"/>
          <w:b/>
          <w:color w:val="auto"/>
          <w:sz w:val="52"/>
          <w:szCs w:val="52"/>
        </w:rPr>
      </w:pPr>
      <w:r>
        <w:rPr>
          <w:rFonts w:hint="eastAsia" w:ascii="宋体" w:hAnsi="宋体" w:eastAsia="宋体"/>
          <w:b/>
          <w:color w:val="auto"/>
          <w:sz w:val="52"/>
          <w:szCs w:val="52"/>
        </w:rPr>
        <w:t>季华实验室采购OLED喷印环境维持系统</w:t>
      </w:r>
    </w:p>
    <w:p>
      <w:pPr>
        <w:jc w:val="center"/>
        <w:rPr>
          <w:rFonts w:hint="eastAsia" w:ascii="宋体" w:hAnsi="宋体" w:eastAsia="宋体"/>
          <w:b/>
          <w:color w:val="auto"/>
          <w:sz w:val="52"/>
          <w:szCs w:val="52"/>
        </w:rPr>
      </w:pPr>
    </w:p>
    <w:p>
      <w:pPr>
        <w:spacing w:line="800" w:lineRule="exact"/>
        <w:jc w:val="center"/>
        <w:rPr>
          <w:rFonts w:hint="eastAsia" w:ascii="宋体" w:hAnsi="宋体" w:eastAsia="宋体"/>
          <w:b/>
          <w:color w:val="auto"/>
          <w:sz w:val="72"/>
          <w:szCs w:val="72"/>
        </w:rPr>
      </w:pPr>
      <w:r>
        <w:rPr>
          <w:rFonts w:ascii="宋体" w:hAnsi="宋体" w:eastAsia="宋体"/>
          <w:b/>
          <w:color w:val="auto"/>
          <w:sz w:val="72"/>
          <w:szCs w:val="72"/>
        </w:rPr>
        <w:t>采购需求调查</w:t>
      </w:r>
      <w:r>
        <w:rPr>
          <w:rFonts w:hint="eastAsia" w:ascii="宋体" w:hAnsi="宋体" w:eastAsia="宋体"/>
          <w:b/>
          <w:color w:val="auto"/>
          <w:sz w:val="72"/>
          <w:szCs w:val="72"/>
        </w:rPr>
        <w:t>文件</w: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spacing w:line="360" w:lineRule="auto"/>
        <w:jc w:val="center"/>
        <w:rPr>
          <w:rFonts w:hint="eastAsia" w:ascii="宋体" w:hAnsi="宋体" w:eastAsia="宋体"/>
          <w:b/>
          <w:color w:val="auto"/>
          <w:sz w:val="32"/>
          <w:szCs w:val="32"/>
        </w:rPr>
      </w:pPr>
      <w:r>
        <w:rPr>
          <w:rFonts w:hint="eastAsia" w:ascii="宋体" w:hAnsi="宋体" w:eastAsia="宋体"/>
          <w:b/>
          <w:color w:val="auto"/>
          <w:sz w:val="32"/>
          <w:szCs w:val="32"/>
        </w:rPr>
        <w:t>广东国科招标有限公司</w:t>
      </w:r>
    </w:p>
    <w:p>
      <w:pPr>
        <w:spacing w:line="360" w:lineRule="auto"/>
        <w:jc w:val="center"/>
        <w:rPr>
          <w:rFonts w:hint="eastAsia" w:ascii="宋体" w:hAnsi="宋体" w:eastAsia="宋体"/>
          <w:b/>
          <w:color w:val="auto"/>
          <w:sz w:val="32"/>
          <w:szCs w:val="32"/>
        </w:rPr>
      </w:pPr>
      <w:r>
        <w:rPr>
          <w:rFonts w:hint="eastAsia" w:ascii="宋体" w:hAnsi="宋体" w:eastAsia="宋体"/>
          <w:b/>
          <w:color w:val="auto"/>
          <w:sz w:val="32"/>
          <w:szCs w:val="32"/>
        </w:rPr>
        <w:t>2026年</w:t>
      </w:r>
      <w:r>
        <w:rPr>
          <w:rFonts w:hint="eastAsia" w:ascii="宋体" w:hAnsi="宋体" w:eastAsia="宋体"/>
          <w:b/>
          <w:color w:val="auto"/>
          <w:sz w:val="32"/>
          <w:szCs w:val="32"/>
          <w:lang w:val="en-US" w:eastAsia="zh-CN"/>
        </w:rPr>
        <w:t>10</w:t>
      </w:r>
      <w:r>
        <w:rPr>
          <w:rFonts w:hint="eastAsia" w:ascii="宋体" w:hAnsi="宋体" w:eastAsia="宋体"/>
          <w:b/>
          <w:color w:val="auto"/>
          <w:sz w:val="32"/>
          <w:szCs w:val="32"/>
        </w:rPr>
        <w:t>月</w:t>
      </w:r>
    </w:p>
    <w:p>
      <w:pPr>
        <w:spacing w:line="360" w:lineRule="auto"/>
        <w:rPr>
          <w:b/>
          <w:color w:val="auto"/>
        </w:rPr>
      </w:pPr>
    </w:p>
    <w:p>
      <w:pPr>
        <w:rPr>
          <w:color w:val="auto"/>
          <w:sz w:val="52"/>
          <w:szCs w:val="52"/>
        </w:rPr>
        <w:sectPr>
          <w:footerReference r:id="rId3" w:type="default"/>
          <w:pgSz w:w="11906" w:h="16838"/>
          <w:pgMar w:top="1440" w:right="1800" w:bottom="1440" w:left="1800" w:header="851" w:footer="992" w:gutter="0"/>
          <w:pgNumType w:start="0"/>
          <w:cols w:space="425" w:num="1"/>
          <w:titlePg/>
          <w:docGrid w:type="lines" w:linePitch="312" w:charSpace="0"/>
        </w:sectPr>
      </w:pPr>
    </w:p>
    <w:p>
      <w:pPr>
        <w:jc w:val="center"/>
        <w:rPr>
          <w:b/>
          <w:color w:val="auto"/>
          <w:sz w:val="52"/>
          <w:szCs w:val="52"/>
        </w:rPr>
      </w:pPr>
      <w:r>
        <w:rPr>
          <w:b/>
          <w:color w:val="auto"/>
          <w:sz w:val="52"/>
          <w:szCs w:val="52"/>
        </w:rPr>
        <w:t>目</w:t>
      </w:r>
      <w:r>
        <w:rPr>
          <w:rFonts w:hint="eastAsia"/>
          <w:b/>
          <w:color w:val="auto"/>
          <w:sz w:val="52"/>
          <w:szCs w:val="52"/>
        </w:rPr>
        <w:t xml:space="preserve"> </w:t>
      </w:r>
      <w:r>
        <w:rPr>
          <w:b/>
          <w:color w:val="auto"/>
          <w:sz w:val="52"/>
          <w:szCs w:val="52"/>
        </w:rPr>
        <w:t>录</w:t>
      </w:r>
    </w:p>
    <w:p>
      <w:pPr>
        <w:pStyle w:val="19"/>
        <w:tabs>
          <w:tab w:val="right" w:pos="8296"/>
        </w:tabs>
        <w:rPr>
          <w:rFonts w:hint="eastAsia" w:asciiTheme="minorEastAsia" w:hAnsiTheme="minorEastAsia" w:cstheme="minorBidi"/>
          <w:b w:val="0"/>
          <w:bCs w:val="0"/>
          <w:color w:val="auto"/>
          <w:sz w:val="32"/>
          <w:szCs w:val="32"/>
        </w:rPr>
      </w:pPr>
      <w:r>
        <w:rPr>
          <w:rFonts w:asciiTheme="minorEastAsia" w:hAnsiTheme="minorEastAsia"/>
          <w:color w:val="auto"/>
          <w:sz w:val="32"/>
          <w:szCs w:val="32"/>
        </w:rPr>
        <w:fldChar w:fldCharType="begin"/>
      </w:r>
      <w:r>
        <w:rPr>
          <w:rFonts w:asciiTheme="minorEastAsia" w:hAnsiTheme="minorEastAsia"/>
          <w:color w:val="auto"/>
          <w:sz w:val="32"/>
          <w:szCs w:val="32"/>
        </w:rPr>
        <w:instrText xml:space="preserve"> TOC \o "1-1" \p " " \h \z \u </w:instrText>
      </w:r>
      <w:r>
        <w:rPr>
          <w:rFonts w:asciiTheme="minorEastAsia" w:hAnsiTheme="minorEastAsia"/>
          <w:color w:val="auto"/>
          <w:sz w:val="32"/>
          <w:szCs w:val="32"/>
        </w:rPr>
        <w:fldChar w:fldCharType="separate"/>
      </w:r>
      <w:r>
        <w:rPr>
          <w:color w:val="auto"/>
        </w:rPr>
        <w:fldChar w:fldCharType="begin"/>
      </w:r>
      <w:r>
        <w:rPr>
          <w:color w:val="auto"/>
        </w:rPr>
        <w:instrText xml:space="preserve"> HYPERLINK \l "_Toc116988313" </w:instrText>
      </w:r>
      <w:r>
        <w:rPr>
          <w:color w:val="auto"/>
        </w:rPr>
        <w:fldChar w:fldCharType="separate"/>
      </w:r>
      <w:r>
        <w:rPr>
          <w:rStyle w:val="33"/>
          <w:rFonts w:hint="eastAsia" w:asciiTheme="minorEastAsia" w:hAnsiTheme="minorEastAsia"/>
          <w:color w:val="auto"/>
          <w:sz w:val="32"/>
          <w:szCs w:val="32"/>
        </w:rPr>
        <w:t>第一章</w:t>
      </w:r>
      <w:r>
        <w:rPr>
          <w:rStyle w:val="33"/>
          <w:rFonts w:asciiTheme="minorEastAsia" w:hAnsiTheme="minorEastAsia"/>
          <w:color w:val="auto"/>
          <w:sz w:val="32"/>
          <w:szCs w:val="32"/>
        </w:rPr>
        <w:t xml:space="preserve">  </w:t>
      </w:r>
      <w:r>
        <w:rPr>
          <w:rStyle w:val="33"/>
          <w:rFonts w:hint="eastAsia" w:asciiTheme="minorEastAsia" w:hAnsiTheme="minorEastAsia"/>
          <w:color w:val="auto"/>
          <w:sz w:val="32"/>
          <w:szCs w:val="32"/>
        </w:rPr>
        <w:t>需求调查公告</w:t>
      </w:r>
      <w:r>
        <w:rPr>
          <w:rFonts w:asciiTheme="minorEastAsia" w:hAnsiTheme="minorEastAsia"/>
          <w:color w:val="auto"/>
          <w:sz w:val="32"/>
          <w:szCs w:val="32"/>
        </w:rPr>
        <w:t xml:space="preserve"> </w:t>
      </w:r>
      <w:r>
        <w:rPr>
          <w:rFonts w:hint="eastAsia" w:asciiTheme="minorEastAsia" w:hAnsiTheme="minorEastAsia"/>
          <w:color w:val="auto"/>
          <w:sz w:val="32"/>
          <w:szCs w:val="32"/>
        </w:rPr>
        <w:t>……………………………………</w:t>
      </w:r>
      <w:r>
        <w:rPr>
          <w:rFonts w:asciiTheme="minorEastAsia" w:hAnsiTheme="minorEastAsia"/>
          <w:color w:val="auto"/>
          <w:sz w:val="32"/>
          <w:szCs w:val="32"/>
        </w:rPr>
        <w:fldChar w:fldCharType="begin"/>
      </w:r>
      <w:r>
        <w:rPr>
          <w:rFonts w:asciiTheme="minorEastAsia" w:hAnsiTheme="minorEastAsia"/>
          <w:color w:val="auto"/>
          <w:sz w:val="32"/>
          <w:szCs w:val="32"/>
        </w:rPr>
        <w:instrText xml:space="preserve"> PAGEREF _Toc116988313 \h </w:instrText>
      </w:r>
      <w:r>
        <w:rPr>
          <w:rFonts w:asciiTheme="minorEastAsia" w:hAnsiTheme="minorEastAsia"/>
          <w:color w:val="auto"/>
          <w:sz w:val="32"/>
          <w:szCs w:val="32"/>
        </w:rPr>
        <w:fldChar w:fldCharType="separate"/>
      </w:r>
      <w:r>
        <w:rPr>
          <w:rFonts w:asciiTheme="minorEastAsia" w:hAnsiTheme="minorEastAsia"/>
          <w:color w:val="auto"/>
          <w:sz w:val="32"/>
          <w:szCs w:val="32"/>
        </w:rPr>
        <w:t>2</w:t>
      </w:r>
      <w:r>
        <w:rPr>
          <w:rFonts w:asciiTheme="minorEastAsia" w:hAnsiTheme="minorEastAsia"/>
          <w:color w:val="auto"/>
          <w:sz w:val="32"/>
          <w:szCs w:val="32"/>
        </w:rPr>
        <w:fldChar w:fldCharType="end"/>
      </w:r>
      <w:r>
        <w:rPr>
          <w:rFonts w:asciiTheme="minorEastAsia" w:hAnsiTheme="minorEastAsia"/>
          <w:color w:val="auto"/>
          <w:sz w:val="32"/>
          <w:szCs w:val="32"/>
        </w:rPr>
        <w:fldChar w:fldCharType="end"/>
      </w:r>
    </w:p>
    <w:p>
      <w:pPr>
        <w:pStyle w:val="19"/>
        <w:tabs>
          <w:tab w:val="right" w:pos="8296"/>
        </w:tabs>
        <w:rPr>
          <w:rFonts w:hint="eastAsia" w:asciiTheme="minorEastAsia" w:hAnsiTheme="minorEastAsia" w:cstheme="minorBidi"/>
          <w:b w:val="0"/>
          <w:bCs w:val="0"/>
          <w:color w:val="auto"/>
          <w:sz w:val="32"/>
          <w:szCs w:val="32"/>
        </w:rPr>
      </w:pPr>
      <w:r>
        <w:rPr>
          <w:color w:val="auto"/>
        </w:rPr>
        <w:fldChar w:fldCharType="begin"/>
      </w:r>
      <w:r>
        <w:rPr>
          <w:color w:val="auto"/>
        </w:rPr>
        <w:instrText xml:space="preserve"> HYPERLINK \l "_Toc116988314" </w:instrText>
      </w:r>
      <w:r>
        <w:rPr>
          <w:color w:val="auto"/>
        </w:rPr>
        <w:fldChar w:fldCharType="separate"/>
      </w:r>
      <w:r>
        <w:rPr>
          <w:rStyle w:val="33"/>
          <w:rFonts w:hint="eastAsia" w:asciiTheme="minorEastAsia" w:hAnsiTheme="minorEastAsia"/>
          <w:color w:val="auto"/>
          <w:sz w:val="32"/>
          <w:szCs w:val="32"/>
        </w:rPr>
        <w:t>第二章</w:t>
      </w:r>
      <w:r>
        <w:rPr>
          <w:rStyle w:val="33"/>
          <w:rFonts w:asciiTheme="minorEastAsia" w:hAnsiTheme="minorEastAsia"/>
          <w:color w:val="auto"/>
          <w:sz w:val="32"/>
          <w:szCs w:val="32"/>
        </w:rPr>
        <w:t xml:space="preserve"> </w:t>
      </w:r>
      <w:r>
        <w:rPr>
          <w:rStyle w:val="33"/>
          <w:rFonts w:hint="eastAsia" w:asciiTheme="minorEastAsia" w:hAnsiTheme="minorEastAsia"/>
          <w:color w:val="auto"/>
          <w:sz w:val="32"/>
          <w:szCs w:val="32"/>
        </w:rPr>
        <w:t xml:space="preserve"> 采购需求基本情况……………………………… </w:t>
      </w:r>
      <w:r>
        <w:rPr>
          <w:rFonts w:asciiTheme="minorEastAsia" w:hAnsiTheme="minorEastAsia"/>
          <w:color w:val="auto"/>
          <w:sz w:val="32"/>
          <w:szCs w:val="32"/>
        </w:rPr>
        <w:fldChar w:fldCharType="begin"/>
      </w:r>
      <w:r>
        <w:rPr>
          <w:rFonts w:asciiTheme="minorEastAsia" w:hAnsiTheme="minorEastAsia"/>
          <w:color w:val="auto"/>
          <w:sz w:val="32"/>
          <w:szCs w:val="32"/>
        </w:rPr>
        <w:instrText xml:space="preserve"> PAGEREF _Toc116988314 \h </w:instrText>
      </w:r>
      <w:r>
        <w:rPr>
          <w:rFonts w:asciiTheme="minorEastAsia" w:hAnsiTheme="minorEastAsia"/>
          <w:color w:val="auto"/>
          <w:sz w:val="32"/>
          <w:szCs w:val="32"/>
        </w:rPr>
        <w:fldChar w:fldCharType="separate"/>
      </w:r>
      <w:r>
        <w:rPr>
          <w:rFonts w:asciiTheme="minorEastAsia" w:hAnsiTheme="minorEastAsia"/>
          <w:color w:val="auto"/>
          <w:sz w:val="32"/>
          <w:szCs w:val="32"/>
        </w:rPr>
        <w:t>5</w:t>
      </w:r>
      <w:r>
        <w:rPr>
          <w:rFonts w:asciiTheme="minorEastAsia" w:hAnsiTheme="minorEastAsia"/>
          <w:color w:val="auto"/>
          <w:sz w:val="32"/>
          <w:szCs w:val="32"/>
        </w:rPr>
        <w:fldChar w:fldCharType="end"/>
      </w:r>
      <w:r>
        <w:rPr>
          <w:rFonts w:asciiTheme="minorEastAsia" w:hAnsiTheme="minorEastAsia"/>
          <w:color w:val="auto"/>
          <w:sz w:val="32"/>
          <w:szCs w:val="32"/>
        </w:rPr>
        <w:fldChar w:fldCharType="end"/>
      </w:r>
    </w:p>
    <w:p>
      <w:pPr>
        <w:pStyle w:val="19"/>
        <w:tabs>
          <w:tab w:val="right" w:pos="8296"/>
        </w:tabs>
        <w:rPr>
          <w:rFonts w:hint="eastAsia" w:asciiTheme="minorEastAsia" w:hAnsiTheme="minorEastAsia" w:cstheme="minorBidi"/>
          <w:b w:val="0"/>
          <w:bCs w:val="0"/>
          <w:color w:val="auto"/>
          <w:sz w:val="32"/>
          <w:szCs w:val="32"/>
        </w:rPr>
      </w:pPr>
      <w:r>
        <w:rPr>
          <w:color w:val="auto"/>
        </w:rPr>
        <w:fldChar w:fldCharType="begin"/>
      </w:r>
      <w:r>
        <w:rPr>
          <w:color w:val="auto"/>
        </w:rPr>
        <w:instrText xml:space="preserve"> HYPERLINK \l "_Toc116988315" </w:instrText>
      </w:r>
      <w:r>
        <w:rPr>
          <w:color w:val="auto"/>
        </w:rPr>
        <w:fldChar w:fldCharType="separate"/>
      </w:r>
      <w:r>
        <w:rPr>
          <w:rStyle w:val="33"/>
          <w:rFonts w:hint="eastAsia" w:asciiTheme="minorEastAsia" w:hAnsiTheme="minorEastAsia"/>
          <w:color w:val="auto"/>
          <w:sz w:val="32"/>
          <w:szCs w:val="32"/>
        </w:rPr>
        <w:t>第三章</w:t>
      </w:r>
      <w:r>
        <w:rPr>
          <w:rStyle w:val="33"/>
          <w:rFonts w:asciiTheme="minorEastAsia" w:hAnsiTheme="minorEastAsia"/>
          <w:color w:val="auto"/>
          <w:sz w:val="32"/>
          <w:szCs w:val="32"/>
        </w:rPr>
        <w:t xml:space="preserve">  </w:t>
      </w:r>
      <w:r>
        <w:rPr>
          <w:rStyle w:val="33"/>
          <w:rFonts w:hint="eastAsia" w:asciiTheme="minorEastAsia" w:hAnsiTheme="minorEastAsia"/>
          <w:color w:val="auto"/>
          <w:sz w:val="32"/>
          <w:szCs w:val="32"/>
        </w:rPr>
        <w:t>需求调查反馈表</w:t>
      </w:r>
      <w:r>
        <w:rPr>
          <w:rFonts w:asciiTheme="minorEastAsia" w:hAnsiTheme="minorEastAsia"/>
          <w:color w:val="auto"/>
          <w:sz w:val="32"/>
          <w:szCs w:val="32"/>
        </w:rPr>
        <w:t xml:space="preserve"> </w:t>
      </w:r>
      <w:r>
        <w:rPr>
          <w:rFonts w:hint="eastAsia" w:asciiTheme="minorEastAsia" w:hAnsiTheme="minorEastAsia"/>
          <w:color w:val="auto"/>
          <w:sz w:val="32"/>
          <w:szCs w:val="32"/>
        </w:rPr>
        <w:t xml:space="preserve">……………………………… </w:t>
      </w:r>
      <w:r>
        <w:rPr>
          <w:rFonts w:asciiTheme="minorEastAsia" w:hAnsiTheme="minorEastAsia"/>
          <w:color w:val="auto"/>
          <w:sz w:val="32"/>
          <w:szCs w:val="32"/>
        </w:rPr>
        <w:fldChar w:fldCharType="begin"/>
      </w:r>
      <w:r>
        <w:rPr>
          <w:rFonts w:asciiTheme="minorEastAsia" w:hAnsiTheme="minorEastAsia"/>
          <w:color w:val="auto"/>
          <w:sz w:val="32"/>
          <w:szCs w:val="32"/>
        </w:rPr>
        <w:instrText xml:space="preserve"> PAGEREF _Toc116988315 \h </w:instrText>
      </w:r>
      <w:r>
        <w:rPr>
          <w:rFonts w:asciiTheme="minorEastAsia" w:hAnsiTheme="minorEastAsia"/>
          <w:color w:val="auto"/>
          <w:sz w:val="32"/>
          <w:szCs w:val="32"/>
        </w:rPr>
        <w:fldChar w:fldCharType="separate"/>
      </w:r>
      <w:r>
        <w:rPr>
          <w:rFonts w:asciiTheme="minorEastAsia" w:hAnsiTheme="minorEastAsia"/>
          <w:color w:val="auto"/>
          <w:sz w:val="32"/>
          <w:szCs w:val="32"/>
        </w:rPr>
        <w:t>20</w:t>
      </w:r>
      <w:r>
        <w:rPr>
          <w:rFonts w:asciiTheme="minorEastAsia" w:hAnsiTheme="minorEastAsia"/>
          <w:color w:val="auto"/>
          <w:sz w:val="32"/>
          <w:szCs w:val="32"/>
        </w:rPr>
        <w:fldChar w:fldCharType="end"/>
      </w:r>
      <w:r>
        <w:rPr>
          <w:rFonts w:asciiTheme="minorEastAsia" w:hAnsiTheme="minorEastAsia"/>
          <w:color w:val="auto"/>
          <w:sz w:val="32"/>
          <w:szCs w:val="32"/>
        </w:rPr>
        <w:fldChar w:fldCharType="end"/>
      </w:r>
    </w:p>
    <w:p>
      <w:pPr>
        <w:rPr>
          <w:color w:val="auto"/>
          <w:sz w:val="52"/>
          <w:szCs w:val="52"/>
        </w:rPr>
      </w:pPr>
      <w:r>
        <w:rPr>
          <w:rFonts w:asciiTheme="minorEastAsia" w:hAnsiTheme="minorEastAsia"/>
          <w:color w:val="auto"/>
          <w:sz w:val="32"/>
          <w:szCs w:val="32"/>
        </w:rPr>
        <w:fldChar w:fldCharType="end"/>
      </w:r>
    </w:p>
    <w:p>
      <w:pPr>
        <w:rPr>
          <w:color w:val="auto"/>
          <w:sz w:val="52"/>
          <w:szCs w:val="52"/>
        </w:rPr>
        <w:sectPr>
          <w:pgSz w:w="11906" w:h="16838"/>
          <w:pgMar w:top="1440" w:right="1800" w:bottom="1440" w:left="1800" w:header="851" w:footer="992" w:gutter="0"/>
          <w:cols w:space="425" w:num="1"/>
          <w:docGrid w:type="lines" w:linePitch="312" w:charSpace="0"/>
        </w:sectPr>
      </w:pPr>
    </w:p>
    <w:p>
      <w:pPr>
        <w:rPr>
          <w:color w:val="auto"/>
          <w:sz w:val="52"/>
          <w:szCs w:val="52"/>
        </w:rPr>
      </w:pPr>
    </w:p>
    <w:p>
      <w:pPr>
        <w:rPr>
          <w:color w:val="auto"/>
          <w:sz w:val="52"/>
          <w:szCs w:val="52"/>
        </w:rPr>
      </w:pPr>
    </w:p>
    <w:p>
      <w:pPr>
        <w:rPr>
          <w:color w:val="auto"/>
          <w:sz w:val="52"/>
          <w:szCs w:val="52"/>
        </w:rPr>
      </w:pPr>
    </w:p>
    <w:p>
      <w:pPr>
        <w:rPr>
          <w:color w:val="auto"/>
          <w:sz w:val="52"/>
          <w:szCs w:val="52"/>
        </w:rPr>
      </w:pPr>
    </w:p>
    <w:p>
      <w:pPr>
        <w:rPr>
          <w:color w:val="auto"/>
          <w:sz w:val="52"/>
          <w:szCs w:val="52"/>
        </w:rPr>
      </w:pPr>
    </w:p>
    <w:p>
      <w:pPr>
        <w:rPr>
          <w:color w:val="auto"/>
          <w:sz w:val="52"/>
          <w:szCs w:val="52"/>
        </w:rPr>
      </w:pPr>
    </w:p>
    <w:p>
      <w:pPr>
        <w:pStyle w:val="2"/>
        <w:jc w:val="center"/>
        <w:rPr>
          <w:color w:val="auto"/>
          <w:sz w:val="52"/>
        </w:rPr>
      </w:pPr>
      <w:bookmarkStart w:id="2" w:name="_Toc116987816"/>
      <w:bookmarkStart w:id="3" w:name="_Toc116988313"/>
      <w:bookmarkStart w:id="4" w:name="_Toc116987889"/>
      <w:bookmarkStart w:id="5" w:name="_Toc116987980"/>
      <w:r>
        <w:rPr>
          <w:color w:val="auto"/>
          <w:sz w:val="52"/>
        </w:rPr>
        <w:t>第一章</w:t>
      </w:r>
      <w:r>
        <w:rPr>
          <w:rFonts w:hint="eastAsia"/>
          <w:color w:val="auto"/>
          <w:sz w:val="52"/>
        </w:rPr>
        <w:t xml:space="preserve"> 需求调查公告</w:t>
      </w:r>
      <w:bookmarkEnd w:id="2"/>
      <w:bookmarkEnd w:id="3"/>
      <w:bookmarkEnd w:id="4"/>
      <w:bookmarkEnd w:id="5"/>
    </w:p>
    <w:p>
      <w:pPr>
        <w:pStyle w:val="4"/>
        <w:shd w:val="clear" w:color="auto" w:fill="FFFFFF"/>
        <w:spacing w:before="0" w:beforeAutospacing="0" w:after="0" w:afterAutospacing="0"/>
        <w:jc w:val="center"/>
        <w:rPr>
          <w:rFonts w:hint="eastAsia" w:ascii="微软雅黑" w:hAnsi="微软雅黑" w:eastAsia="微软雅黑"/>
          <w:color w:val="auto"/>
          <w:sz w:val="28"/>
          <w:szCs w:val="29"/>
        </w:rPr>
        <w:sectPr>
          <w:pgSz w:w="11906" w:h="16838"/>
          <w:pgMar w:top="1440" w:right="1800" w:bottom="1440" w:left="1800" w:header="851" w:footer="992" w:gutter="0"/>
          <w:cols w:space="425" w:num="1"/>
          <w:docGrid w:type="lines" w:linePitch="312" w:charSpace="0"/>
        </w:sectPr>
      </w:pPr>
    </w:p>
    <w:p>
      <w:pPr>
        <w:jc w:val="center"/>
        <w:rPr>
          <w:rFonts w:hint="eastAsia" w:ascii="宋体" w:hAnsi="宋体" w:eastAsia="宋体"/>
          <w:b/>
          <w:color w:val="auto"/>
          <w:sz w:val="32"/>
          <w:szCs w:val="28"/>
        </w:rPr>
      </w:pPr>
      <w:r>
        <w:rPr>
          <w:rFonts w:hint="eastAsia" w:ascii="宋体" w:hAnsi="宋体" w:eastAsia="宋体"/>
          <w:b/>
          <w:color w:val="auto"/>
          <w:sz w:val="32"/>
          <w:szCs w:val="28"/>
        </w:rPr>
        <w:t>季华实验室采购OLED喷印环境维持系统需求调查公告</w:t>
      </w:r>
    </w:p>
    <w:p>
      <w:pPr>
        <w:widowControl/>
        <w:shd w:val="clear" w:color="auto" w:fill="FFFFFF"/>
        <w:spacing w:line="360"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本单位现对“季华实验室采购OLED喷印环境维持系统”组织进行需求调查。为了解市场各供应商的服务情况，以及使服务和商务要求体现公平、公正的原则，现邀请有能力提供合格服务的各单位参与本项目的需求调查活动，相关事宜通知如下：</w:t>
      </w:r>
    </w:p>
    <w:p>
      <w:pPr>
        <w:pStyle w:val="56"/>
        <w:widowControl/>
        <w:numPr>
          <w:ilvl w:val="0"/>
          <w:numId w:val="1"/>
        </w:numPr>
        <w:shd w:val="clear" w:color="auto" w:fill="FFFFFF"/>
        <w:spacing w:line="360" w:lineRule="auto"/>
        <w:ind w:left="-2" w:leftChars="-1" w:firstLine="428" w:firstLineChars="0"/>
        <w:jc w:val="left"/>
        <w:rPr>
          <w:rFonts w:hint="eastAsia" w:ascii="宋体" w:hAnsi="宋体" w:eastAsia="宋体" w:cs="宋体"/>
          <w:b/>
          <w:bCs/>
          <w:color w:val="auto"/>
          <w:kern w:val="0"/>
          <w:szCs w:val="21"/>
        </w:rPr>
      </w:pPr>
      <w:r>
        <w:rPr>
          <w:rFonts w:hint="eastAsia" w:ascii="宋体" w:hAnsi="宋体" w:eastAsia="宋体" w:cs="宋体"/>
          <w:b/>
          <w:bCs/>
          <w:color w:val="auto"/>
          <w:kern w:val="0"/>
          <w:szCs w:val="21"/>
        </w:rPr>
        <w:t>项目概况</w:t>
      </w:r>
    </w:p>
    <w:p>
      <w:pPr>
        <w:spacing w:line="360" w:lineRule="auto"/>
        <w:ind w:firstLine="420" w:firstLineChars="200"/>
        <w:rPr>
          <w:rFonts w:hint="eastAsia" w:ascii="宋体" w:hAnsi="宋体"/>
          <w:color w:val="auto"/>
        </w:rPr>
      </w:pPr>
      <w:r>
        <w:rPr>
          <w:rFonts w:hint="eastAsia" w:hAnsi="宋体"/>
          <w:color w:val="auto"/>
        </w:rPr>
        <w:t>本次招标为季华实验室所需设备。供应商应根据采购人所提出的设备技术规格、产品及质量要求，综合考虑设备的适应性，选择具有最佳性能价格比的设备前来投标。</w:t>
      </w:r>
    </w:p>
    <w:p>
      <w:pPr>
        <w:pStyle w:val="56"/>
        <w:widowControl/>
        <w:numPr>
          <w:ilvl w:val="0"/>
          <w:numId w:val="1"/>
        </w:numPr>
        <w:shd w:val="clear" w:color="auto" w:fill="FFFFFF"/>
        <w:spacing w:line="360" w:lineRule="auto"/>
        <w:ind w:left="-2" w:leftChars="-1" w:firstLine="428" w:firstLineChars="0"/>
        <w:jc w:val="left"/>
        <w:rPr>
          <w:rFonts w:hint="eastAsia" w:ascii="宋体" w:hAnsi="宋体" w:eastAsia="宋体" w:cs="宋体"/>
          <w:b/>
          <w:bCs/>
          <w:color w:val="auto"/>
          <w:kern w:val="0"/>
          <w:szCs w:val="21"/>
        </w:rPr>
      </w:pPr>
      <w:r>
        <w:rPr>
          <w:rFonts w:hint="eastAsia" w:ascii="宋体" w:hAnsi="宋体" w:eastAsia="宋体" w:cs="宋体"/>
          <w:b/>
          <w:bCs/>
          <w:color w:val="auto"/>
          <w:kern w:val="0"/>
          <w:szCs w:val="21"/>
        </w:rPr>
        <w:t>采购预算：</w:t>
      </w:r>
      <w:r>
        <w:rPr>
          <w:rFonts w:hint="eastAsia" w:ascii="宋体" w:hAnsi="宋体" w:eastAsia="宋体" w:cs="宋体"/>
          <w:color w:val="auto"/>
          <w:kern w:val="0"/>
          <w:szCs w:val="21"/>
        </w:rPr>
        <w:t>1</w:t>
      </w:r>
      <w:r>
        <w:rPr>
          <w:rFonts w:hint="eastAsia" w:ascii="宋体" w:hAnsi="宋体" w:eastAsia="宋体" w:cs="宋体"/>
          <w:color w:val="auto"/>
          <w:kern w:val="0"/>
          <w:szCs w:val="21"/>
          <w:lang w:val="en-US" w:eastAsia="zh-CN"/>
        </w:rPr>
        <w:t>3</w:t>
      </w:r>
      <w:r>
        <w:rPr>
          <w:rFonts w:hint="eastAsia" w:ascii="宋体" w:hAnsi="宋体" w:eastAsia="宋体" w:cs="宋体"/>
          <w:color w:val="auto"/>
          <w:kern w:val="0"/>
          <w:szCs w:val="21"/>
        </w:rPr>
        <w:t>,000,000.00元</w:t>
      </w:r>
    </w:p>
    <w:p>
      <w:pPr>
        <w:pStyle w:val="56"/>
        <w:widowControl/>
        <w:numPr>
          <w:ilvl w:val="0"/>
          <w:numId w:val="1"/>
        </w:numPr>
        <w:shd w:val="clear" w:color="auto" w:fill="FFFFFF"/>
        <w:spacing w:line="360" w:lineRule="auto"/>
        <w:ind w:left="-2" w:leftChars="-1" w:firstLine="428" w:firstLineChars="0"/>
        <w:jc w:val="left"/>
        <w:rPr>
          <w:rFonts w:hint="eastAsia" w:ascii="宋体" w:hAnsi="宋体" w:eastAsia="宋体" w:cs="宋体"/>
          <w:b/>
          <w:bCs/>
          <w:color w:val="auto"/>
          <w:kern w:val="0"/>
          <w:szCs w:val="21"/>
        </w:rPr>
      </w:pPr>
      <w:r>
        <w:rPr>
          <w:rFonts w:hint="eastAsia" w:ascii="宋体" w:hAnsi="宋体" w:eastAsia="宋体" w:cs="宋体"/>
          <w:b/>
          <w:bCs/>
          <w:color w:val="auto"/>
          <w:kern w:val="0"/>
          <w:szCs w:val="21"/>
        </w:rPr>
        <w:t>调查方式</w:t>
      </w:r>
    </w:p>
    <w:p>
      <w:pPr>
        <w:widowControl/>
        <w:shd w:val="clear" w:color="auto" w:fill="FFFFFF"/>
        <w:spacing w:line="360" w:lineRule="auto"/>
        <w:ind w:firstLine="420" w:firstLineChars="200"/>
        <w:jc w:val="left"/>
        <w:rPr>
          <w:rFonts w:ascii="Times New Roman" w:hAnsi="Times New Roman" w:eastAsia="宋体" w:cs="宋体"/>
          <w:color w:val="auto"/>
          <w:kern w:val="0"/>
          <w:szCs w:val="21"/>
        </w:rPr>
      </w:pPr>
      <w:r>
        <w:rPr>
          <w:rFonts w:hint="eastAsia" w:ascii="Times New Roman" w:hAnsi="Times New Roman" w:eastAsia="宋体" w:cs="宋体"/>
          <w:color w:val="auto"/>
          <w:kern w:val="0"/>
          <w:szCs w:val="21"/>
        </w:rPr>
        <w:t>1.有意向参与的供应商可以填写《需求调查报名表》（需加盖公司印章）发送至邮箱（邮箱地址：gzgk@gzgkbidding.com，联系人：罗小姐、李小姐，联系电话：020-37674721，020-87688847），本单位收到报名表后将《采购需求调查文件》以邮件形式发给供应商。</w:t>
      </w:r>
    </w:p>
    <w:p>
      <w:pPr>
        <w:widowControl/>
        <w:shd w:val="clear" w:color="auto" w:fill="FFFFFF"/>
        <w:spacing w:line="360" w:lineRule="auto"/>
        <w:ind w:firstLine="420" w:firstLineChars="200"/>
        <w:jc w:val="left"/>
        <w:rPr>
          <w:rFonts w:ascii="Times New Roman" w:hAnsi="Times New Roman" w:eastAsia="宋体" w:cs="宋体"/>
          <w:color w:val="auto"/>
          <w:kern w:val="0"/>
          <w:szCs w:val="21"/>
        </w:rPr>
      </w:pPr>
      <w:r>
        <w:rPr>
          <w:rFonts w:hint="eastAsia" w:ascii="Times New Roman" w:hAnsi="Times New Roman" w:eastAsia="宋体" w:cs="宋体"/>
          <w:color w:val="auto"/>
          <w:kern w:val="0"/>
          <w:szCs w:val="21"/>
        </w:rPr>
        <w:t>2.请参加需求调查的供应商按照采购需求基本情况及《需求调查反馈表》有关要求，向本单位提交第三部分采购需求的调查反馈材料，如有其他对本次项目的意见或建议，也可一并提供。</w:t>
      </w:r>
    </w:p>
    <w:p>
      <w:pPr>
        <w:widowControl/>
        <w:shd w:val="clear" w:color="auto" w:fill="FFFFFF"/>
        <w:spacing w:line="360" w:lineRule="auto"/>
        <w:ind w:firstLine="420" w:firstLineChars="200"/>
        <w:jc w:val="left"/>
        <w:rPr>
          <w:rFonts w:hint="eastAsia" w:ascii="宋体" w:hAnsi="宋体" w:eastAsia="宋体" w:cs="宋体"/>
          <w:color w:val="auto"/>
          <w:kern w:val="0"/>
          <w:szCs w:val="21"/>
        </w:rPr>
      </w:pPr>
      <w:r>
        <w:rPr>
          <w:rFonts w:hint="eastAsia" w:ascii="Times New Roman" w:hAnsi="Times New Roman" w:eastAsia="宋体" w:cs="宋体"/>
          <w:color w:val="auto"/>
          <w:kern w:val="0"/>
          <w:szCs w:val="21"/>
        </w:rPr>
        <w:t>3.采购需求调查反馈材料提交形式：供应商对本次采购需求调查的反馈材料请在本公告发出之日起的5个工作日内采用A4版式纸质材料和电子扫描文件（需加盖公司印章）和word文档的形式提交。①电子版资料（文件命名规则：项目名称+供应商名称+需求调查反馈材料）发送至邮箱（邮箱地址：gzgk@gzgkbidding.com，联系人：罗小姐、李小姐，联系电话：020-37674721，020-87688847）；②纸质版材料可于工作日时间邮寄或送达如下地址：广州市先烈中路100号科学院大院9号楼东座2楼（中国广州分析测试中心对面）（收件人：罗小姐、李小姐，联系电话：020-37674721，020-87688847）。</w:t>
      </w:r>
    </w:p>
    <w:p>
      <w:pPr>
        <w:pStyle w:val="56"/>
        <w:widowControl/>
        <w:numPr>
          <w:ilvl w:val="0"/>
          <w:numId w:val="1"/>
        </w:numPr>
        <w:shd w:val="clear" w:color="auto" w:fill="FFFFFF"/>
        <w:spacing w:line="360" w:lineRule="auto"/>
        <w:ind w:left="-2" w:leftChars="-1" w:firstLine="428" w:firstLineChars="0"/>
        <w:jc w:val="left"/>
        <w:rPr>
          <w:rFonts w:hint="eastAsia" w:ascii="宋体" w:hAnsi="宋体" w:eastAsia="宋体" w:cs="宋体"/>
          <w:b/>
          <w:bCs/>
          <w:color w:val="auto"/>
          <w:kern w:val="0"/>
          <w:szCs w:val="21"/>
        </w:rPr>
      </w:pPr>
      <w:r>
        <w:rPr>
          <w:rFonts w:hint="eastAsia" w:ascii="宋体" w:hAnsi="宋体" w:eastAsia="宋体" w:cs="宋体"/>
          <w:b/>
          <w:bCs/>
          <w:color w:val="auto"/>
          <w:kern w:val="0"/>
          <w:szCs w:val="21"/>
        </w:rPr>
        <w:t>需求调查截止日期、时间及公布媒体</w:t>
      </w:r>
    </w:p>
    <w:p>
      <w:pPr>
        <w:widowControl/>
        <w:shd w:val="clear" w:color="auto" w:fill="FFFFFF"/>
        <w:spacing w:line="360"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1.递交截止日期和时间：2026年</w:t>
      </w:r>
      <w:r>
        <w:rPr>
          <w:rFonts w:hint="eastAsia" w:ascii="宋体" w:hAnsi="宋体" w:eastAsia="宋体" w:cs="宋体"/>
          <w:color w:val="auto"/>
          <w:kern w:val="0"/>
          <w:szCs w:val="21"/>
          <w:lang w:val="en-US" w:eastAsia="zh-CN"/>
        </w:rPr>
        <w:t>10</w:t>
      </w:r>
      <w:r>
        <w:rPr>
          <w:rFonts w:hint="eastAsia" w:ascii="宋体" w:hAnsi="宋体" w:eastAsia="宋体" w:cs="宋体"/>
          <w:color w:val="auto"/>
          <w:kern w:val="0"/>
          <w:szCs w:val="21"/>
        </w:rPr>
        <w:t>月</w:t>
      </w:r>
      <w:r>
        <w:rPr>
          <w:rFonts w:hint="eastAsia" w:ascii="宋体" w:hAnsi="宋体" w:eastAsia="宋体" w:cs="宋体"/>
          <w:color w:val="auto"/>
          <w:kern w:val="0"/>
          <w:szCs w:val="21"/>
          <w:lang w:val="en-US" w:eastAsia="zh-CN"/>
        </w:rPr>
        <w:t>14</w:t>
      </w:r>
      <w:bookmarkStart w:id="34" w:name="_GoBack"/>
      <w:bookmarkEnd w:id="34"/>
      <w:r>
        <w:rPr>
          <w:rFonts w:hint="eastAsia" w:ascii="宋体" w:hAnsi="宋体" w:eastAsia="宋体" w:cs="宋体"/>
          <w:color w:val="auto"/>
          <w:kern w:val="0"/>
          <w:szCs w:val="21"/>
        </w:rPr>
        <w:t>日17:30。（以我单位收到时间为准）</w:t>
      </w:r>
    </w:p>
    <w:p>
      <w:pPr>
        <w:widowControl/>
        <w:shd w:val="clear" w:color="auto" w:fill="FFFFFF"/>
        <w:spacing w:line="360"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2.本需求调查公告信息在相关媒体</w:t>
      </w:r>
      <w:r>
        <w:rPr>
          <w:rFonts w:hint="eastAsia" w:ascii="宋体" w:hAnsi="宋体" w:eastAsia="宋体"/>
          <w:color w:val="auto"/>
          <w:szCs w:val="21"/>
          <w:shd w:val="clear" w:color="auto" w:fill="FFFFFF"/>
        </w:rPr>
        <w:t>广东国科招标有限公司网站（www.gzgkbidding.com）和季华实验室网站（</w:t>
      </w:r>
      <w:r>
        <w:rPr>
          <w:rFonts w:ascii="宋体" w:hAnsi="宋体" w:eastAsia="宋体"/>
          <w:color w:val="auto"/>
          <w:szCs w:val="21"/>
          <w:shd w:val="clear" w:color="auto" w:fill="FFFFFF"/>
        </w:rPr>
        <w:t>https://www.pyhospital.com.cn/</w:t>
      </w:r>
      <w:r>
        <w:rPr>
          <w:rFonts w:hint="eastAsia" w:ascii="宋体" w:hAnsi="宋体" w:eastAsia="宋体"/>
          <w:color w:val="auto"/>
          <w:szCs w:val="21"/>
          <w:shd w:val="clear" w:color="auto" w:fill="FFFFFF"/>
        </w:rPr>
        <w:t>）</w:t>
      </w:r>
      <w:r>
        <w:rPr>
          <w:rFonts w:hint="eastAsia" w:ascii="宋体" w:hAnsi="宋体" w:eastAsia="宋体" w:cs="宋体"/>
          <w:color w:val="auto"/>
          <w:kern w:val="0"/>
          <w:szCs w:val="21"/>
        </w:rPr>
        <w:t>上公布。</w:t>
      </w:r>
    </w:p>
    <w:p>
      <w:pPr>
        <w:pStyle w:val="56"/>
        <w:widowControl/>
        <w:numPr>
          <w:ilvl w:val="0"/>
          <w:numId w:val="1"/>
        </w:numPr>
        <w:shd w:val="clear" w:color="auto" w:fill="FFFFFF"/>
        <w:spacing w:line="360" w:lineRule="auto"/>
        <w:ind w:left="-2" w:leftChars="-1" w:firstLine="428" w:firstLineChars="0"/>
        <w:jc w:val="left"/>
        <w:rPr>
          <w:rFonts w:hint="eastAsia" w:ascii="宋体" w:hAnsi="宋体" w:eastAsia="宋体" w:cs="宋体"/>
          <w:b/>
          <w:bCs/>
          <w:color w:val="auto"/>
          <w:kern w:val="0"/>
          <w:szCs w:val="21"/>
        </w:rPr>
      </w:pPr>
      <w:r>
        <w:rPr>
          <w:rFonts w:hint="eastAsia" w:ascii="宋体" w:hAnsi="宋体" w:eastAsia="宋体" w:cs="宋体"/>
          <w:b/>
          <w:bCs/>
          <w:color w:val="auto"/>
          <w:kern w:val="0"/>
          <w:szCs w:val="21"/>
        </w:rPr>
        <w:t>单位联系方式</w:t>
      </w:r>
    </w:p>
    <w:p>
      <w:pPr>
        <w:widowControl/>
        <w:shd w:val="clear" w:color="auto" w:fill="FFFFFF"/>
        <w:spacing w:line="360"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采购人：季华实验室</w:t>
      </w:r>
    </w:p>
    <w:p>
      <w:pPr>
        <w:widowControl/>
        <w:shd w:val="clear" w:color="auto" w:fill="FFFFFF"/>
        <w:spacing w:line="360"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联系地址：广东省佛山市南海区桂城街道环岛南路28号</w:t>
      </w:r>
    </w:p>
    <w:p>
      <w:pPr>
        <w:widowControl/>
        <w:shd w:val="clear" w:color="auto" w:fill="FFFFFF"/>
        <w:spacing w:line="360"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采购代理机构：广东国科招标有限公司</w:t>
      </w:r>
    </w:p>
    <w:p>
      <w:pPr>
        <w:widowControl/>
        <w:shd w:val="clear" w:color="auto" w:fill="FFFFFF"/>
        <w:spacing w:line="360"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联系人：罗小姐、李小姐</w:t>
      </w:r>
    </w:p>
    <w:p>
      <w:pPr>
        <w:widowControl/>
        <w:shd w:val="clear" w:color="auto" w:fill="FFFFFF"/>
        <w:spacing w:line="360"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联系电话：020-37674721，020-87688847</w:t>
      </w:r>
    </w:p>
    <w:p>
      <w:pPr>
        <w:widowControl/>
        <w:shd w:val="clear" w:color="auto" w:fill="FFFFFF"/>
        <w:spacing w:line="360"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地址: 广州市先烈中路100号科学院大院9号楼东座2楼（中国广州分析测试中心对面）</w:t>
      </w:r>
    </w:p>
    <w:p>
      <w:pPr>
        <w:widowControl/>
        <w:shd w:val="clear" w:color="auto" w:fill="FFFFFF"/>
        <w:spacing w:line="360" w:lineRule="auto"/>
        <w:ind w:firstLine="420" w:firstLineChars="200"/>
        <w:jc w:val="left"/>
        <w:rPr>
          <w:rFonts w:hint="eastAsia" w:ascii="宋体" w:hAnsi="宋体" w:eastAsia="宋体" w:cs="宋体"/>
          <w:color w:val="auto"/>
          <w:kern w:val="0"/>
          <w:szCs w:val="21"/>
        </w:rPr>
      </w:pPr>
    </w:p>
    <w:p>
      <w:pPr>
        <w:widowControl/>
        <w:shd w:val="clear" w:color="auto" w:fill="FFFFFF"/>
        <w:spacing w:line="360" w:lineRule="auto"/>
        <w:ind w:firstLine="420" w:firstLineChars="200"/>
        <w:jc w:val="right"/>
        <w:rPr>
          <w:rFonts w:hint="eastAsia" w:ascii="宋体" w:hAnsi="宋体" w:eastAsia="宋体" w:cs="宋体"/>
          <w:color w:val="auto"/>
          <w:kern w:val="0"/>
          <w:szCs w:val="21"/>
        </w:rPr>
      </w:pPr>
      <w:r>
        <w:rPr>
          <w:rFonts w:hint="eastAsia" w:ascii="宋体" w:hAnsi="宋体" w:eastAsia="宋体" w:cs="宋体"/>
          <w:color w:val="auto"/>
          <w:kern w:val="0"/>
          <w:szCs w:val="21"/>
        </w:rPr>
        <w:t>广东国科招标有限公司</w:t>
      </w:r>
    </w:p>
    <w:p>
      <w:pPr>
        <w:widowControl/>
        <w:shd w:val="clear" w:color="auto" w:fill="FFFFFF"/>
        <w:spacing w:line="360" w:lineRule="auto"/>
        <w:ind w:firstLine="420" w:firstLineChars="200"/>
        <w:jc w:val="right"/>
        <w:rPr>
          <w:rFonts w:hint="eastAsia" w:ascii="宋体" w:hAnsi="宋体" w:eastAsia="宋体" w:cs="宋体"/>
          <w:color w:val="auto"/>
          <w:kern w:val="0"/>
          <w:szCs w:val="21"/>
        </w:rPr>
      </w:pPr>
      <w:r>
        <w:rPr>
          <w:rFonts w:hint="eastAsia" w:ascii="宋体" w:hAnsi="宋体" w:eastAsia="宋体" w:cs="宋体"/>
          <w:color w:val="auto"/>
          <w:kern w:val="0"/>
          <w:szCs w:val="21"/>
        </w:rPr>
        <w:t>2026年</w:t>
      </w:r>
      <w:r>
        <w:rPr>
          <w:rFonts w:hint="eastAsia" w:ascii="宋体" w:hAnsi="宋体" w:eastAsia="宋体" w:cs="宋体"/>
          <w:color w:val="auto"/>
          <w:kern w:val="0"/>
          <w:szCs w:val="21"/>
          <w:lang w:val="en-US" w:eastAsia="zh-CN"/>
        </w:rPr>
        <w:t>10</w:t>
      </w:r>
      <w:r>
        <w:rPr>
          <w:rFonts w:hint="eastAsia" w:ascii="宋体" w:hAnsi="宋体" w:eastAsia="宋体" w:cs="宋体"/>
          <w:color w:val="auto"/>
          <w:kern w:val="0"/>
          <w:szCs w:val="21"/>
        </w:rPr>
        <w:t>月</w:t>
      </w:r>
      <w:r>
        <w:rPr>
          <w:rFonts w:hint="eastAsia" w:ascii="宋体" w:hAnsi="宋体" w:eastAsia="宋体" w:cs="宋体"/>
          <w:color w:val="auto"/>
          <w:kern w:val="0"/>
          <w:szCs w:val="21"/>
          <w:lang w:val="en-US" w:eastAsia="zh-CN"/>
        </w:rPr>
        <w:t>8</w:t>
      </w:r>
      <w:r>
        <w:rPr>
          <w:rFonts w:hint="eastAsia" w:ascii="宋体" w:hAnsi="宋体" w:eastAsia="宋体" w:cs="宋体"/>
          <w:color w:val="auto"/>
          <w:kern w:val="0"/>
          <w:szCs w:val="21"/>
        </w:rPr>
        <w:t>日</w:t>
      </w:r>
    </w:p>
    <w:p>
      <w:pPr>
        <w:rPr>
          <w:color w:val="auto"/>
        </w:rPr>
      </w:pPr>
    </w:p>
    <w:p>
      <w:pPr>
        <w:rPr>
          <w:color w:val="auto"/>
        </w:rPr>
        <w:sectPr>
          <w:pgSz w:w="11906" w:h="16838"/>
          <w:pgMar w:top="1440" w:right="1800" w:bottom="1440" w:left="1800" w:header="851" w:footer="992" w:gutter="0"/>
          <w:cols w:space="425" w:num="1"/>
          <w:docGrid w:type="lines" w:linePitch="312" w:charSpace="0"/>
        </w:sectPr>
      </w:pPr>
    </w:p>
    <w:p>
      <w:pPr>
        <w:rPr>
          <w:color w:val="auto"/>
          <w:sz w:val="72"/>
          <w:szCs w:val="72"/>
        </w:rPr>
      </w:pPr>
    </w:p>
    <w:p>
      <w:pPr>
        <w:rPr>
          <w:color w:val="auto"/>
          <w:sz w:val="72"/>
          <w:szCs w:val="72"/>
        </w:rPr>
      </w:pPr>
    </w:p>
    <w:p>
      <w:pPr>
        <w:rPr>
          <w:color w:val="auto"/>
          <w:sz w:val="72"/>
          <w:szCs w:val="72"/>
        </w:rPr>
      </w:pPr>
    </w:p>
    <w:p>
      <w:pPr>
        <w:rPr>
          <w:color w:val="auto"/>
          <w:sz w:val="72"/>
          <w:szCs w:val="72"/>
        </w:rPr>
      </w:pPr>
    </w:p>
    <w:p>
      <w:pPr>
        <w:rPr>
          <w:color w:val="auto"/>
          <w:sz w:val="72"/>
          <w:szCs w:val="72"/>
        </w:rPr>
      </w:pPr>
    </w:p>
    <w:p>
      <w:pPr>
        <w:pStyle w:val="2"/>
        <w:jc w:val="center"/>
        <w:rPr>
          <w:color w:val="auto"/>
          <w:sz w:val="52"/>
        </w:rPr>
      </w:pPr>
      <w:bookmarkStart w:id="6" w:name="_Toc116987981"/>
      <w:bookmarkStart w:id="7" w:name="_Toc116987890"/>
      <w:bookmarkStart w:id="8" w:name="_Toc116987817"/>
      <w:bookmarkStart w:id="9" w:name="_Toc116988314"/>
      <w:r>
        <w:rPr>
          <w:color w:val="auto"/>
          <w:sz w:val="52"/>
        </w:rPr>
        <w:t>第二章</w:t>
      </w:r>
      <w:r>
        <w:rPr>
          <w:rFonts w:hint="eastAsia"/>
          <w:color w:val="auto"/>
          <w:sz w:val="52"/>
        </w:rPr>
        <w:t xml:space="preserve"> 采购需求基本情况</w:t>
      </w:r>
      <w:bookmarkEnd w:id="6"/>
      <w:bookmarkEnd w:id="7"/>
      <w:bookmarkEnd w:id="8"/>
      <w:bookmarkEnd w:id="9"/>
    </w:p>
    <w:p>
      <w:pPr>
        <w:rPr>
          <w:color w:val="auto"/>
        </w:rPr>
      </w:pPr>
    </w:p>
    <w:p>
      <w:pPr>
        <w:rPr>
          <w:color w:val="auto"/>
        </w:rPr>
        <w:sectPr>
          <w:pgSz w:w="11906" w:h="16838"/>
          <w:pgMar w:top="1440" w:right="1800" w:bottom="1440" w:left="1800" w:header="851" w:footer="992" w:gutter="0"/>
          <w:cols w:space="425" w:num="1"/>
          <w:docGrid w:type="lines" w:linePitch="312" w:charSpace="0"/>
        </w:sectPr>
      </w:pPr>
    </w:p>
    <w:p>
      <w:pPr>
        <w:jc w:val="center"/>
        <w:rPr>
          <w:rFonts w:hint="eastAsia" w:ascii="宋体" w:hAnsi="宋体" w:eastAsia="宋体" w:cs="宋体"/>
          <w:b/>
          <w:bCs/>
          <w:color w:val="auto"/>
          <w:sz w:val="44"/>
          <w:szCs w:val="44"/>
        </w:rPr>
      </w:pPr>
      <w:r>
        <w:rPr>
          <w:rFonts w:hint="eastAsia" w:ascii="宋体" w:hAnsi="宋体" w:eastAsia="宋体" w:cs="宋体"/>
          <w:b/>
          <w:bCs/>
          <w:color w:val="auto"/>
          <w:sz w:val="44"/>
          <w:szCs w:val="44"/>
        </w:rPr>
        <w:t>采购需求</w:t>
      </w:r>
    </w:p>
    <w:p>
      <w:pPr>
        <w:numPr>
          <w:ilvl w:val="0"/>
          <w:numId w:val="2"/>
        </w:numPr>
        <w:spacing w:line="360" w:lineRule="auto"/>
        <w:ind w:firstLine="0"/>
        <w:outlineLvl w:val="0"/>
        <w:rPr>
          <w:rFonts w:hint="eastAsia" w:ascii="宋体" w:hAnsi="宋体" w:eastAsia="宋体" w:cs="宋体"/>
          <w:b/>
          <w:bCs/>
          <w:color w:val="auto"/>
        </w:rPr>
      </w:pPr>
      <w:r>
        <w:rPr>
          <w:rFonts w:hint="eastAsia" w:ascii="宋体" w:hAnsi="宋体" w:eastAsia="宋体" w:cs="宋体"/>
          <w:b/>
          <w:bCs/>
          <w:color w:val="auto"/>
        </w:rPr>
        <w:t>总体要求</w:t>
      </w:r>
    </w:p>
    <w:p>
      <w:pPr>
        <w:numPr>
          <w:ilvl w:val="2"/>
          <w:numId w:val="3"/>
        </w:numPr>
        <w:spacing w:line="360" w:lineRule="auto"/>
        <w:ind w:left="426"/>
        <w:rPr>
          <w:rFonts w:hint="eastAsia" w:ascii="宋体" w:hAnsi="宋体" w:eastAsia="宋体" w:cs="宋体"/>
          <w:color w:val="auto"/>
        </w:rPr>
      </w:pPr>
      <w:r>
        <w:rPr>
          <w:rFonts w:hint="eastAsia" w:ascii="宋体" w:hAnsi="宋体" w:eastAsia="宋体" w:cs="宋体"/>
          <w:b/>
          <w:color w:val="auto"/>
        </w:rPr>
        <w:t>项目编号：</w:t>
      </w:r>
      <w:r>
        <w:rPr>
          <w:rFonts w:hint="eastAsia" w:ascii="宋体" w:hAnsi="宋体" w:eastAsia="宋体" w:cs="宋体"/>
          <w:color w:val="auto"/>
        </w:rPr>
        <w:t xml:space="preserve">     </w:t>
      </w:r>
    </w:p>
    <w:p>
      <w:pPr>
        <w:numPr>
          <w:ilvl w:val="2"/>
          <w:numId w:val="3"/>
        </w:numPr>
        <w:spacing w:line="360" w:lineRule="auto"/>
        <w:ind w:left="426"/>
        <w:rPr>
          <w:rFonts w:hint="eastAsia" w:ascii="宋体" w:hAnsi="宋体" w:eastAsia="宋体" w:cs="宋体"/>
          <w:color w:val="auto"/>
        </w:rPr>
      </w:pPr>
      <w:r>
        <w:rPr>
          <w:rFonts w:hint="eastAsia" w:ascii="宋体" w:hAnsi="宋体" w:eastAsia="宋体" w:cs="宋体"/>
          <w:b/>
          <w:color w:val="auto"/>
        </w:rPr>
        <w:t>项目名称：</w:t>
      </w:r>
      <w:r>
        <w:rPr>
          <w:rFonts w:hint="eastAsia" w:ascii="宋体" w:hAnsi="宋体" w:eastAsia="宋体" w:cs="宋体"/>
          <w:color w:val="auto"/>
        </w:rPr>
        <w:t>季华实验室采购OLED喷印环境维持系统</w:t>
      </w:r>
    </w:p>
    <w:p>
      <w:pPr>
        <w:numPr>
          <w:ilvl w:val="2"/>
          <w:numId w:val="3"/>
        </w:numPr>
        <w:spacing w:line="360" w:lineRule="auto"/>
        <w:ind w:left="426"/>
        <w:rPr>
          <w:rFonts w:hint="eastAsia" w:ascii="宋体" w:hAnsi="宋体" w:eastAsia="宋体" w:cs="宋体"/>
          <w:bCs/>
          <w:color w:val="auto"/>
        </w:rPr>
      </w:pPr>
      <w:r>
        <w:rPr>
          <w:rFonts w:hint="eastAsia" w:ascii="宋体" w:hAnsi="宋体" w:eastAsia="宋体" w:cs="宋体"/>
          <w:b/>
          <w:color w:val="auto"/>
        </w:rPr>
        <w:t>项目预算：</w:t>
      </w:r>
      <w:r>
        <w:rPr>
          <w:rFonts w:hint="eastAsia" w:ascii="宋体" w:hAnsi="宋体" w:eastAsia="宋体" w:cs="宋体"/>
          <w:bCs/>
          <w:color w:val="auto"/>
        </w:rPr>
        <w:t>1</w:t>
      </w:r>
      <w:r>
        <w:rPr>
          <w:rFonts w:hint="eastAsia" w:ascii="宋体" w:hAnsi="宋体" w:eastAsia="宋体" w:cs="宋体"/>
          <w:bCs/>
          <w:color w:val="auto"/>
          <w:lang w:val="en-US" w:eastAsia="zh-CN"/>
        </w:rPr>
        <w:t>3</w:t>
      </w:r>
      <w:r>
        <w:rPr>
          <w:rFonts w:hint="eastAsia" w:ascii="宋体" w:hAnsi="宋体" w:eastAsia="宋体" w:cs="宋体"/>
          <w:bCs/>
          <w:color w:val="auto"/>
        </w:rPr>
        <w:t>,000,000.00元</w:t>
      </w:r>
    </w:p>
    <w:p>
      <w:pPr>
        <w:numPr>
          <w:ilvl w:val="2"/>
          <w:numId w:val="3"/>
        </w:numPr>
        <w:spacing w:line="360" w:lineRule="auto"/>
        <w:ind w:left="426"/>
        <w:rPr>
          <w:rFonts w:hint="eastAsia" w:ascii="宋体" w:hAnsi="宋体"/>
          <w:b/>
          <w:bCs/>
          <w:color w:val="auto"/>
          <w:szCs w:val="20"/>
        </w:rPr>
      </w:pPr>
      <w:r>
        <w:rPr>
          <w:rFonts w:hint="eastAsia" w:ascii="宋体" w:hAnsi="宋体"/>
          <w:b/>
          <w:bCs/>
          <w:color w:val="auto"/>
          <w:szCs w:val="20"/>
        </w:rPr>
        <w:t>说明：</w:t>
      </w:r>
    </w:p>
    <w:p>
      <w:pPr>
        <w:numPr>
          <w:ilvl w:val="0"/>
          <w:numId w:val="4"/>
        </w:numPr>
        <w:snapToGrid w:val="0"/>
        <w:spacing w:line="360" w:lineRule="auto"/>
        <w:rPr>
          <w:rFonts w:hint="eastAsia" w:ascii="宋体" w:hAnsi="宋体"/>
          <w:color w:val="auto"/>
          <w:szCs w:val="21"/>
        </w:rPr>
      </w:pPr>
      <w:r>
        <w:rPr>
          <w:rFonts w:hint="eastAsia" w:ascii="宋体" w:hAnsi="宋体"/>
          <w:color w:val="auto"/>
          <w:szCs w:val="21"/>
        </w:rPr>
        <w:t>采购需求中打</w:t>
      </w:r>
      <w:r>
        <w:rPr>
          <w:rFonts w:ascii="宋体" w:hAnsi="宋体"/>
          <w:color w:val="auto"/>
          <w:szCs w:val="21"/>
        </w:rPr>
        <w:t>“</w:t>
      </w:r>
      <w:r>
        <w:rPr>
          <w:rFonts w:hint="eastAsia" w:ascii="宋体" w:hAnsi="宋体"/>
          <w:color w:val="auto"/>
          <w:szCs w:val="21"/>
        </w:rPr>
        <w:t>★</w:t>
      </w:r>
      <w:r>
        <w:rPr>
          <w:rFonts w:ascii="宋体" w:hAnsi="宋体"/>
          <w:color w:val="auto"/>
          <w:szCs w:val="21"/>
        </w:rPr>
        <w:t>”</w:t>
      </w:r>
      <w:r>
        <w:rPr>
          <w:rFonts w:hint="eastAsia" w:ascii="宋体" w:hAnsi="宋体"/>
          <w:color w:val="auto"/>
          <w:szCs w:val="21"/>
        </w:rPr>
        <w:t>号条款为实质性条款，有任何一条负偏离则导致无效投标。</w:t>
      </w:r>
    </w:p>
    <w:p>
      <w:pPr>
        <w:numPr>
          <w:ilvl w:val="0"/>
          <w:numId w:val="4"/>
        </w:numPr>
        <w:snapToGrid w:val="0"/>
        <w:spacing w:line="360" w:lineRule="auto"/>
        <w:rPr>
          <w:rFonts w:hint="eastAsia" w:ascii="宋体" w:hAnsi="宋体"/>
          <w:color w:val="auto"/>
          <w:szCs w:val="21"/>
        </w:rPr>
      </w:pPr>
      <w:r>
        <w:rPr>
          <w:rFonts w:hint="eastAsia" w:ascii="宋体" w:hAnsi="宋体"/>
          <w:color w:val="auto"/>
          <w:szCs w:val="21"/>
        </w:rPr>
        <w:t>采购需求中打</w:t>
      </w:r>
      <w:r>
        <w:rPr>
          <w:rFonts w:ascii="宋体" w:hAnsi="宋体"/>
          <w:color w:val="auto"/>
          <w:szCs w:val="21"/>
        </w:rPr>
        <w:t>“</w:t>
      </w:r>
      <w:r>
        <w:rPr>
          <w:rFonts w:hint="eastAsia" w:ascii="宋体" w:hAnsi="宋体"/>
          <w:color w:val="auto"/>
          <w:szCs w:val="21"/>
        </w:rPr>
        <w:t>▲</w:t>
      </w:r>
      <w:r>
        <w:rPr>
          <w:rFonts w:ascii="宋体" w:hAnsi="宋体"/>
          <w:color w:val="auto"/>
          <w:szCs w:val="21"/>
        </w:rPr>
        <w:t>”</w:t>
      </w:r>
      <w:r>
        <w:rPr>
          <w:rFonts w:hint="eastAsia" w:ascii="宋体" w:hAnsi="宋体"/>
          <w:color w:val="auto"/>
          <w:szCs w:val="21"/>
        </w:rPr>
        <w:t>号条款为重要技术参数，但不作为无效投标条款。</w:t>
      </w:r>
    </w:p>
    <w:p>
      <w:pPr>
        <w:numPr>
          <w:ilvl w:val="0"/>
          <w:numId w:val="4"/>
        </w:numPr>
        <w:tabs>
          <w:tab w:val="left" w:pos="0"/>
        </w:tabs>
        <w:snapToGrid w:val="0"/>
        <w:spacing w:line="360" w:lineRule="auto"/>
        <w:rPr>
          <w:rFonts w:hint="eastAsia" w:ascii="宋体" w:hAnsi="宋体"/>
          <w:color w:val="auto"/>
          <w:szCs w:val="21"/>
        </w:rPr>
      </w:pPr>
      <w:r>
        <w:rPr>
          <w:rFonts w:hint="eastAsia" w:ascii="宋体" w:hAnsi="宋体"/>
          <w:color w:val="auto"/>
          <w:szCs w:val="21"/>
        </w:rPr>
        <w:t>采购需求中打</w:t>
      </w:r>
      <w:r>
        <w:rPr>
          <w:rFonts w:ascii="宋体" w:hAnsi="宋体"/>
          <w:color w:val="auto"/>
          <w:szCs w:val="21"/>
        </w:rPr>
        <w:t>“</w:t>
      </w:r>
      <w:r>
        <w:rPr>
          <w:rFonts w:hint="eastAsia" w:ascii="宋体" w:hAnsi="宋体"/>
          <w:color w:val="auto"/>
          <w:szCs w:val="21"/>
        </w:rPr>
        <w:t>◆</w:t>
      </w:r>
      <w:r>
        <w:rPr>
          <w:rFonts w:ascii="宋体" w:hAnsi="宋体"/>
          <w:color w:val="auto"/>
          <w:szCs w:val="21"/>
        </w:rPr>
        <w:t>”</w:t>
      </w:r>
      <w:r>
        <w:rPr>
          <w:rFonts w:hint="eastAsia" w:ascii="宋体" w:hAnsi="宋体"/>
          <w:color w:val="auto"/>
          <w:szCs w:val="21"/>
        </w:rPr>
        <w:t>号的为采购的主要标的，投标人应在《投标分项报价表》中清晰列明“产品名称、规格型号、单价、数量”。</w:t>
      </w:r>
    </w:p>
    <w:p>
      <w:pPr>
        <w:numPr>
          <w:ilvl w:val="0"/>
          <w:numId w:val="4"/>
        </w:numPr>
        <w:snapToGrid w:val="0"/>
        <w:spacing w:line="360" w:lineRule="auto"/>
        <w:rPr>
          <w:rFonts w:hint="eastAsia" w:ascii="宋体" w:hAnsi="宋体" w:cs="宋体"/>
          <w:color w:val="auto"/>
          <w:kern w:val="0"/>
          <w:szCs w:val="21"/>
        </w:rPr>
      </w:pPr>
      <w:r>
        <w:rPr>
          <w:rFonts w:hint="eastAsia" w:ascii="宋体" w:hAnsi="宋体"/>
          <w:color w:val="auto"/>
          <w:szCs w:val="21"/>
        </w:rPr>
        <w:t>采购需求中打</w:t>
      </w:r>
      <w:r>
        <w:rPr>
          <w:rFonts w:ascii="宋体" w:hAnsi="宋体"/>
          <w:color w:val="auto"/>
          <w:szCs w:val="21"/>
        </w:rPr>
        <w:t>“</w:t>
      </w:r>
      <w:r>
        <w:rPr>
          <w:rFonts w:hint="eastAsia" w:ascii="宋体" w:hAnsi="宋体"/>
          <w:color w:val="auto"/>
          <w:szCs w:val="21"/>
        </w:rPr>
        <w:t>●</w:t>
      </w:r>
      <w:r>
        <w:rPr>
          <w:rFonts w:ascii="宋体" w:hAnsi="宋体"/>
          <w:color w:val="auto"/>
          <w:szCs w:val="21"/>
        </w:rPr>
        <w:t>”</w:t>
      </w:r>
      <w:r>
        <w:rPr>
          <w:rFonts w:hint="eastAsia" w:ascii="宋体" w:hAnsi="宋体"/>
          <w:color w:val="auto"/>
          <w:szCs w:val="21"/>
        </w:rPr>
        <w:t>号的为采购的核心产品，投标人应在《投标分项报价表》中清晰列明“产品名称、品牌”。否则，视为无效投标。</w:t>
      </w:r>
    </w:p>
    <w:p>
      <w:pPr>
        <w:numPr>
          <w:ilvl w:val="0"/>
          <w:numId w:val="4"/>
        </w:numPr>
        <w:snapToGrid w:val="0"/>
        <w:spacing w:line="360" w:lineRule="auto"/>
        <w:rPr>
          <w:rFonts w:hint="eastAsia" w:ascii="宋体" w:hAnsi="宋体"/>
          <w:b/>
          <w:color w:val="auto"/>
          <w:szCs w:val="21"/>
        </w:rPr>
      </w:pPr>
      <w:r>
        <w:rPr>
          <w:rFonts w:hint="eastAsia" w:ascii="宋体" w:hAnsi="宋体" w:cs="宋体"/>
          <w:color w:val="auto"/>
          <w:szCs w:val="21"/>
        </w:rPr>
        <w:t>投标报价（总价）中不得包含招标文件要求以外的内容，否则，在评标时不予核减。若投标报价有缺漏项的，缺漏项部分的价格视为已包含在投标报价中，中标后不作任何调整</w:t>
      </w:r>
      <w:r>
        <w:rPr>
          <w:rFonts w:hint="eastAsia" w:ascii="宋体" w:hAnsi="宋体"/>
          <w:color w:val="auto"/>
          <w:szCs w:val="21"/>
        </w:rPr>
        <w:t>。</w:t>
      </w:r>
    </w:p>
    <w:p>
      <w:pPr>
        <w:pStyle w:val="56"/>
        <w:numPr>
          <w:ilvl w:val="0"/>
          <w:numId w:val="4"/>
        </w:numPr>
        <w:snapToGrid w:val="0"/>
        <w:spacing w:line="360" w:lineRule="auto"/>
        <w:ind w:firstLineChars="0"/>
        <w:rPr>
          <w:rFonts w:hint="eastAsia" w:ascii="宋体" w:hAnsi="宋体"/>
          <w:b/>
          <w:color w:val="auto"/>
        </w:rPr>
      </w:pPr>
      <w:r>
        <w:rPr>
          <w:rFonts w:hint="eastAsia" w:ascii="宋体" w:hAnsi="宋体"/>
          <w:color w:val="auto"/>
          <w:szCs w:val="21"/>
        </w:rPr>
        <w:t>本项目不允许转包、分包。</w:t>
      </w:r>
    </w:p>
    <w:p>
      <w:pPr>
        <w:numPr>
          <w:ilvl w:val="0"/>
          <w:numId w:val="2"/>
        </w:numPr>
        <w:spacing w:line="360" w:lineRule="auto"/>
        <w:ind w:firstLine="0"/>
        <w:outlineLvl w:val="0"/>
        <w:rPr>
          <w:rFonts w:hint="eastAsia" w:ascii="宋体" w:hAnsi="宋体" w:eastAsia="宋体" w:cs="Courier New"/>
          <w:b/>
          <w:color w:val="auto"/>
          <w:szCs w:val="21"/>
        </w:rPr>
      </w:pPr>
      <w:r>
        <w:rPr>
          <w:rFonts w:ascii="宋体" w:hAnsi="宋体" w:eastAsia="宋体" w:cs="Courier New"/>
          <w:b/>
          <w:color w:val="auto"/>
          <w:szCs w:val="21"/>
        </w:rPr>
        <w:t>项目一览表:</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1355"/>
        <w:gridCol w:w="2051"/>
        <w:gridCol w:w="544"/>
        <w:gridCol w:w="2169"/>
        <w:gridCol w:w="1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0" w:type="auto"/>
            <w:shd w:val="clear" w:color="auto" w:fill="EEECE1"/>
            <w:vAlign w:val="center"/>
          </w:tcPr>
          <w:p>
            <w:pPr>
              <w:pStyle w:val="25"/>
              <w:widowControl/>
              <w:jc w:val="center"/>
              <w:rPr>
                <w:rFonts w:hint="eastAsia" w:ascii="宋体" w:hAnsi="宋体" w:eastAsia="宋体" w:cs="Times New Roman"/>
                <w:b/>
                <w:color w:val="auto"/>
                <w:kern w:val="2"/>
                <w:sz w:val="21"/>
                <w:szCs w:val="21"/>
                <w:lang w:val="en-US" w:eastAsia="zh-CN" w:bidi="ar-SA"/>
              </w:rPr>
            </w:pPr>
            <w:r>
              <w:rPr>
                <w:rFonts w:hint="eastAsia" w:ascii="宋体" w:hAnsi="宋体" w:eastAsia="宋体" w:cs="Times New Roman"/>
                <w:b/>
                <w:color w:val="auto"/>
                <w:kern w:val="2"/>
                <w:sz w:val="21"/>
                <w:szCs w:val="21"/>
                <w:lang w:val="en-US" w:eastAsia="zh-CN" w:bidi="ar-SA"/>
              </w:rPr>
              <w:t>品目号</w:t>
            </w:r>
          </w:p>
        </w:tc>
        <w:tc>
          <w:tcPr>
            <w:tcW w:w="0" w:type="auto"/>
            <w:shd w:val="clear" w:color="auto" w:fill="EEECE1"/>
            <w:vAlign w:val="center"/>
          </w:tcPr>
          <w:p>
            <w:pPr>
              <w:pStyle w:val="25"/>
              <w:widowControl/>
              <w:jc w:val="center"/>
              <w:rPr>
                <w:rFonts w:hint="eastAsia" w:ascii="宋体" w:hAnsi="宋体" w:eastAsia="宋体" w:cs="Times New Roman"/>
                <w:b/>
                <w:color w:val="auto"/>
                <w:kern w:val="2"/>
                <w:sz w:val="21"/>
                <w:szCs w:val="21"/>
                <w:lang w:val="en-US" w:eastAsia="zh-CN" w:bidi="ar-SA"/>
              </w:rPr>
            </w:pPr>
            <w:r>
              <w:rPr>
                <w:rFonts w:hint="eastAsia" w:ascii="宋体" w:hAnsi="宋体" w:eastAsia="宋体" w:cs="Times New Roman"/>
                <w:b/>
                <w:color w:val="auto"/>
                <w:kern w:val="2"/>
                <w:sz w:val="21"/>
                <w:szCs w:val="21"/>
                <w:lang w:val="en-US" w:eastAsia="zh-CN" w:bidi="ar-SA"/>
              </w:rPr>
              <w:t>品目名称</w:t>
            </w:r>
          </w:p>
        </w:tc>
        <w:tc>
          <w:tcPr>
            <w:tcW w:w="0" w:type="auto"/>
            <w:shd w:val="clear" w:color="auto" w:fill="EEECE1"/>
            <w:vAlign w:val="center"/>
          </w:tcPr>
          <w:p>
            <w:pPr>
              <w:jc w:val="center"/>
              <w:rPr>
                <w:rFonts w:hint="eastAsia" w:ascii="宋体" w:hAnsi="宋体" w:eastAsia="宋体" w:cs="Times New Roman"/>
                <w:b/>
                <w:color w:val="auto"/>
                <w:szCs w:val="21"/>
              </w:rPr>
            </w:pPr>
            <w:r>
              <w:rPr>
                <w:rFonts w:ascii="宋体" w:hAnsi="宋体" w:eastAsia="宋体" w:cs="Times New Roman"/>
                <w:b/>
                <w:color w:val="auto"/>
                <w:szCs w:val="21"/>
              </w:rPr>
              <w:t>采购内容</w:t>
            </w:r>
          </w:p>
        </w:tc>
        <w:tc>
          <w:tcPr>
            <w:tcW w:w="0" w:type="auto"/>
            <w:shd w:val="clear" w:color="auto" w:fill="EEECE1"/>
            <w:vAlign w:val="center"/>
          </w:tcPr>
          <w:p>
            <w:pPr>
              <w:jc w:val="center"/>
              <w:rPr>
                <w:rFonts w:hint="eastAsia" w:ascii="宋体" w:hAnsi="宋体" w:eastAsia="宋体" w:cs="Times New Roman"/>
                <w:b/>
                <w:color w:val="auto"/>
                <w:szCs w:val="21"/>
              </w:rPr>
            </w:pPr>
            <w:r>
              <w:rPr>
                <w:rFonts w:ascii="宋体" w:hAnsi="宋体" w:eastAsia="宋体" w:cs="Times New Roman"/>
                <w:b/>
                <w:color w:val="auto"/>
                <w:szCs w:val="21"/>
              </w:rPr>
              <w:t>数量</w:t>
            </w:r>
          </w:p>
        </w:tc>
        <w:tc>
          <w:tcPr>
            <w:tcW w:w="0" w:type="auto"/>
            <w:shd w:val="clear" w:color="auto" w:fill="EEECE1"/>
            <w:vAlign w:val="center"/>
          </w:tcPr>
          <w:p>
            <w:pPr>
              <w:jc w:val="center"/>
              <w:rPr>
                <w:rFonts w:hint="eastAsia" w:ascii="宋体" w:hAnsi="宋体" w:eastAsia="宋体" w:cs="Times New Roman"/>
                <w:b/>
                <w:color w:val="auto"/>
                <w:szCs w:val="21"/>
              </w:rPr>
            </w:pPr>
            <w:r>
              <w:rPr>
                <w:rFonts w:ascii="宋体" w:hAnsi="宋体" w:eastAsia="宋体" w:cs="Times New Roman"/>
                <w:b/>
                <w:color w:val="auto"/>
                <w:szCs w:val="21"/>
              </w:rPr>
              <w:t>最高限价</w:t>
            </w:r>
          </w:p>
        </w:tc>
        <w:tc>
          <w:tcPr>
            <w:tcW w:w="0" w:type="auto"/>
            <w:shd w:val="clear" w:color="auto" w:fill="EEECE1"/>
            <w:vAlign w:val="center"/>
          </w:tcPr>
          <w:p>
            <w:pPr>
              <w:pStyle w:val="25"/>
              <w:widowControl/>
              <w:jc w:val="center"/>
              <w:rPr>
                <w:rFonts w:ascii="宋体" w:hAnsi="宋体" w:eastAsia="宋体" w:cs="Times New Roman"/>
                <w:b/>
                <w:color w:val="auto"/>
                <w:szCs w:val="21"/>
              </w:rPr>
            </w:pPr>
            <w:r>
              <w:rPr>
                <w:rFonts w:hint="eastAsia" w:ascii="宋体" w:hAnsi="宋体" w:eastAsia="宋体" w:cs="Times New Roman"/>
                <w:b/>
                <w:color w:val="auto"/>
                <w:kern w:val="2"/>
                <w:sz w:val="21"/>
                <w:szCs w:val="21"/>
                <w:lang w:val="en-US" w:eastAsia="zh-CN" w:bidi="ar-SA"/>
              </w:rPr>
              <w:t>是否允许进口产品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trPr>
        <w:tc>
          <w:tcPr>
            <w:tcW w:w="0" w:type="auto"/>
            <w:vAlign w:val="center"/>
          </w:tcPr>
          <w:p>
            <w:pPr>
              <w:pStyle w:val="25"/>
              <w:widowControl/>
              <w:jc w:val="center"/>
              <w:rPr>
                <w:rFonts w:ascii="宋体" w:hAnsi="宋体" w:eastAsia="宋体" w:cs="Times New Roman"/>
                <w:b w:val="0"/>
                <w:bCs w:val="0"/>
                <w:color w:val="auto"/>
                <w:sz w:val="21"/>
                <w:szCs w:val="18"/>
              </w:rPr>
            </w:pPr>
            <w:r>
              <w:rPr>
                <w:rFonts w:hint="eastAsia" w:ascii="宋体" w:hAnsi="宋体" w:eastAsia="宋体" w:cs="Times New Roman"/>
                <w:b w:val="0"/>
                <w:bCs w:val="0"/>
                <w:color w:val="auto"/>
                <w:sz w:val="21"/>
                <w:szCs w:val="18"/>
              </w:rPr>
              <w:t>A02100699</w:t>
            </w:r>
          </w:p>
        </w:tc>
        <w:tc>
          <w:tcPr>
            <w:tcW w:w="0" w:type="auto"/>
            <w:vAlign w:val="center"/>
          </w:tcPr>
          <w:p>
            <w:pPr>
              <w:pStyle w:val="25"/>
              <w:widowControl/>
              <w:jc w:val="center"/>
              <w:rPr>
                <w:rFonts w:ascii="宋体" w:hAnsi="宋体" w:eastAsia="宋体" w:cs="Times New Roman"/>
                <w:b w:val="0"/>
                <w:bCs w:val="0"/>
                <w:color w:val="auto"/>
                <w:sz w:val="21"/>
                <w:szCs w:val="18"/>
              </w:rPr>
            </w:pPr>
            <w:r>
              <w:rPr>
                <w:rFonts w:hint="eastAsia" w:ascii="宋体" w:hAnsi="宋体" w:eastAsia="宋体" w:cs="Times New Roman"/>
                <w:b w:val="0"/>
                <w:bCs w:val="0"/>
                <w:color w:val="auto"/>
                <w:sz w:val="21"/>
                <w:szCs w:val="18"/>
              </w:rPr>
              <w:t>其他试验仪器及装置</w:t>
            </w:r>
          </w:p>
        </w:tc>
        <w:tc>
          <w:tcPr>
            <w:tcW w:w="0" w:type="auto"/>
            <w:vAlign w:val="center"/>
          </w:tcPr>
          <w:p>
            <w:pPr>
              <w:jc w:val="center"/>
              <w:rPr>
                <w:rFonts w:hint="eastAsia" w:ascii="宋体" w:hAnsi="宋体" w:eastAsia="宋体" w:cs="Times New Roman"/>
                <w:bCs/>
                <w:color w:val="auto"/>
                <w:szCs w:val="21"/>
                <w:lang w:eastAsia="zh-CN"/>
              </w:rPr>
            </w:pPr>
            <w:r>
              <w:rPr>
                <w:rFonts w:ascii="宋体" w:hAnsi="宋体" w:eastAsia="宋体" w:cs="Times New Roman"/>
                <w:b/>
                <w:bCs/>
                <w:color w:val="auto"/>
                <w:szCs w:val="21"/>
              </w:rPr>
              <w:t>◆●OLED 喷印环境维持系统</w:t>
            </w:r>
          </w:p>
        </w:tc>
        <w:tc>
          <w:tcPr>
            <w:tcW w:w="0" w:type="auto"/>
            <w:vAlign w:val="center"/>
          </w:tcPr>
          <w:p>
            <w:pPr>
              <w:jc w:val="center"/>
              <w:rPr>
                <w:rFonts w:hint="eastAsia" w:ascii="宋体" w:hAnsi="宋体" w:eastAsia="宋体" w:cs="Times New Roman"/>
                <w:bCs/>
                <w:color w:val="auto"/>
                <w:szCs w:val="21"/>
              </w:rPr>
            </w:pPr>
            <w:r>
              <w:rPr>
                <w:rFonts w:ascii="宋体" w:hAnsi="宋体" w:eastAsia="宋体" w:cs="Times New Roman"/>
                <w:bCs/>
                <w:color w:val="auto"/>
                <w:szCs w:val="21"/>
              </w:rPr>
              <w:t>一套</w:t>
            </w:r>
          </w:p>
        </w:tc>
        <w:tc>
          <w:tcPr>
            <w:tcW w:w="0" w:type="auto"/>
            <w:vAlign w:val="center"/>
          </w:tcPr>
          <w:p>
            <w:pPr>
              <w:keepNext/>
              <w:adjustRightInd w:val="0"/>
              <w:spacing w:before="60" w:after="60" w:line="300" w:lineRule="auto"/>
              <w:jc w:val="center"/>
              <w:textAlignment w:val="center"/>
              <w:rPr>
                <w:rFonts w:hint="eastAsia" w:ascii="宋体" w:hAnsi="宋体" w:eastAsia="宋体" w:cs="Times New Roman"/>
                <w:color w:val="auto"/>
                <w:szCs w:val="24"/>
              </w:rPr>
            </w:pPr>
            <w:r>
              <w:rPr>
                <w:rFonts w:ascii="宋体" w:hAnsi="宋体" w:eastAsia="宋体" w:cs="Times New Roman"/>
                <w:color w:val="auto"/>
                <w:szCs w:val="21"/>
              </w:rPr>
              <w:t>人民币1</w:t>
            </w:r>
            <w:r>
              <w:rPr>
                <w:rFonts w:hint="eastAsia" w:ascii="宋体" w:hAnsi="宋体" w:eastAsia="宋体" w:cs="Times New Roman"/>
                <w:color w:val="auto"/>
                <w:szCs w:val="21"/>
                <w:lang w:val="en-US" w:eastAsia="zh-CN"/>
              </w:rPr>
              <w:t>3</w:t>
            </w:r>
            <w:r>
              <w:rPr>
                <w:rFonts w:ascii="宋体" w:hAnsi="宋体" w:eastAsia="宋体" w:cs="Times New Roman"/>
                <w:color w:val="auto"/>
                <w:szCs w:val="21"/>
              </w:rPr>
              <w:t>00.00万元（含税价）</w:t>
            </w:r>
          </w:p>
        </w:tc>
        <w:tc>
          <w:tcPr>
            <w:tcW w:w="0" w:type="auto"/>
            <w:vAlign w:val="center"/>
          </w:tcPr>
          <w:p>
            <w:pPr>
              <w:pStyle w:val="25"/>
              <w:widowControl/>
              <w:jc w:val="center"/>
              <w:rPr>
                <w:rFonts w:ascii="宋体" w:hAnsi="宋体" w:eastAsia="宋体" w:cs="Times New Roman"/>
                <w:color w:val="auto"/>
                <w:szCs w:val="21"/>
              </w:rPr>
            </w:pPr>
            <w:r>
              <w:rPr>
                <w:rFonts w:hint="eastAsia" w:ascii="宋体" w:hAnsi="宋体"/>
                <w:sz w:val="21"/>
                <w:szCs w:val="21"/>
              </w:rPr>
              <w:t>否</w:t>
            </w:r>
          </w:p>
        </w:tc>
      </w:tr>
    </w:tbl>
    <w:p>
      <w:pPr>
        <w:numPr>
          <w:ilvl w:val="0"/>
          <w:numId w:val="2"/>
        </w:numPr>
        <w:spacing w:line="360" w:lineRule="auto"/>
        <w:ind w:firstLine="0"/>
        <w:outlineLvl w:val="0"/>
        <w:rPr>
          <w:rFonts w:hint="eastAsia" w:ascii="宋体" w:hAnsi="宋体" w:eastAsia="宋体" w:cs="Courier New"/>
          <w:b/>
          <w:color w:val="auto"/>
          <w:szCs w:val="21"/>
        </w:rPr>
      </w:pPr>
      <w:r>
        <w:rPr>
          <w:rFonts w:ascii="宋体" w:hAnsi="宋体" w:eastAsia="宋体" w:cs="Courier New"/>
          <w:b/>
          <w:bCs/>
          <w:color w:val="auto"/>
          <w:szCs w:val="21"/>
        </w:rPr>
        <w:t>★</w:t>
      </w:r>
      <w:r>
        <w:rPr>
          <w:rFonts w:ascii="宋体" w:hAnsi="宋体" w:eastAsia="宋体" w:cs="Courier New"/>
          <w:b/>
          <w:color w:val="auto"/>
          <w:szCs w:val="21"/>
        </w:rPr>
        <w:t>交货期：自合同签订之日起6个月内</w:t>
      </w:r>
    </w:p>
    <w:p>
      <w:pPr>
        <w:numPr>
          <w:ilvl w:val="0"/>
          <w:numId w:val="2"/>
        </w:numPr>
        <w:spacing w:line="360" w:lineRule="auto"/>
        <w:ind w:firstLine="0"/>
        <w:outlineLvl w:val="0"/>
        <w:rPr>
          <w:rFonts w:hint="eastAsia" w:ascii="宋体" w:hAnsi="宋体" w:eastAsia="宋体" w:cs="Courier New"/>
          <w:b/>
          <w:color w:val="auto"/>
          <w:szCs w:val="21"/>
        </w:rPr>
      </w:pPr>
      <w:r>
        <w:rPr>
          <w:rFonts w:ascii="宋体" w:hAnsi="宋体" w:eastAsia="宋体" w:cs="Courier New"/>
          <w:b/>
          <w:color w:val="auto"/>
          <w:szCs w:val="20"/>
        </w:rPr>
        <w:t>项目基本概况：</w:t>
      </w:r>
    </w:p>
    <w:p>
      <w:pPr>
        <w:pStyle w:val="14"/>
        <w:tabs>
          <w:tab w:val="left" w:pos="540"/>
        </w:tabs>
        <w:adjustRightInd w:val="0"/>
        <w:snapToGrid w:val="0"/>
        <w:spacing w:line="360" w:lineRule="auto"/>
        <w:ind w:left="420"/>
        <w:rPr>
          <w:rFonts w:hint="eastAsia" w:hAnsi="宋体"/>
          <w:color w:val="auto"/>
        </w:rPr>
      </w:pPr>
      <w:r>
        <w:rPr>
          <w:rFonts w:hint="eastAsia" w:hAnsi="宋体"/>
          <w:color w:val="auto"/>
        </w:rPr>
        <w:t>1、本次招标为季华实验室所需设备。投标人应根据采购人所提出的设备技术规格、产品及质量要求，综合考虑设备的适应性，选择具有最佳性能价格比的设备前来投标。</w:t>
      </w:r>
    </w:p>
    <w:p>
      <w:pPr>
        <w:pStyle w:val="14"/>
        <w:tabs>
          <w:tab w:val="left" w:pos="540"/>
        </w:tabs>
        <w:adjustRightInd w:val="0"/>
        <w:snapToGrid w:val="0"/>
        <w:spacing w:line="360" w:lineRule="auto"/>
        <w:ind w:firstLine="420" w:firstLineChars="200"/>
        <w:rPr>
          <w:rFonts w:hint="eastAsia" w:hAnsi="宋体" w:eastAsiaTheme="minorEastAsia"/>
          <w:color w:val="auto"/>
          <w:lang w:val="en-US" w:eastAsia="zh-CN"/>
        </w:rPr>
      </w:pPr>
      <w:r>
        <w:rPr>
          <w:rFonts w:hAnsi="宋体"/>
          <w:color w:val="auto"/>
        </w:rPr>
        <w:t>2、</w:t>
      </w:r>
      <w:r>
        <w:rPr>
          <w:rFonts w:hint="eastAsia" w:hAnsi="宋体"/>
          <w:color w:val="auto"/>
        </w:rPr>
        <w:t>安装地点：广东佛山季华实验室</w:t>
      </w:r>
      <w:r>
        <w:rPr>
          <w:rFonts w:hint="eastAsia" w:hAnsi="宋体"/>
          <w:color w:val="auto"/>
          <w:lang w:eastAsia="zh-CN"/>
        </w:rPr>
        <w:t>。</w:t>
      </w:r>
    </w:p>
    <w:p>
      <w:pPr>
        <w:adjustRightInd w:val="0"/>
        <w:snapToGrid w:val="0"/>
        <w:spacing w:line="360" w:lineRule="auto"/>
        <w:ind w:firstLine="420" w:firstLineChars="200"/>
        <w:rPr>
          <w:rFonts w:hint="eastAsia" w:ascii="Times New Roman" w:hAnsi="Times New Roman"/>
          <w:color w:val="auto"/>
        </w:rPr>
      </w:pPr>
      <w:r>
        <w:rPr>
          <w:rFonts w:hint="eastAsia" w:ascii="Times New Roman" w:hAnsi="Times New Roman"/>
          <w:color w:val="auto"/>
        </w:rPr>
        <w:t>3、</w:t>
      </w:r>
      <w:r>
        <w:rPr>
          <w:rFonts w:ascii="Times New Roman" w:hAnsi="Times New Roman"/>
          <w:color w:val="auto"/>
        </w:rPr>
        <w:t>本</w:t>
      </w:r>
      <w:r>
        <w:rPr>
          <w:rFonts w:hint="eastAsia" w:ascii="Times New Roman" w:hAnsi="Times New Roman"/>
          <w:color w:val="auto"/>
        </w:rPr>
        <w:t>次采购的</w:t>
      </w:r>
      <w:r>
        <w:rPr>
          <w:rFonts w:ascii="Times New Roman" w:hAnsi="Times New Roman"/>
          <w:color w:val="auto"/>
        </w:rPr>
        <w:t>设备是</w:t>
      </w:r>
      <w:r>
        <w:rPr>
          <w:rFonts w:hint="eastAsia" w:ascii="Times New Roman" w:hAnsi="Times New Roman"/>
          <w:color w:val="auto"/>
        </w:rPr>
        <w:t>“</w:t>
      </w:r>
      <w:r>
        <w:rPr>
          <w:rFonts w:ascii="Times New Roman" w:hAnsi="Times New Roman"/>
          <w:color w:val="auto"/>
        </w:rPr>
        <w:t>OLED喷墨打印</w:t>
      </w:r>
      <w:r>
        <w:rPr>
          <w:rFonts w:hint="eastAsia" w:ascii="Times New Roman" w:hAnsi="Times New Roman"/>
          <w:color w:val="auto"/>
        </w:rPr>
        <w:t>成套系统”的核心设备。</w:t>
      </w:r>
      <w:r>
        <w:rPr>
          <w:rFonts w:ascii="Times New Roman" w:hAnsi="Times New Roman"/>
          <w:color w:val="auto"/>
        </w:rPr>
        <w:t>用于</w:t>
      </w:r>
      <w:r>
        <w:rPr>
          <w:rFonts w:hint="eastAsia" w:ascii="Times New Roman" w:hAnsi="Times New Roman"/>
          <w:color w:val="auto"/>
        </w:rPr>
        <w:t xml:space="preserve">G8.6 </w:t>
      </w:r>
      <w:r>
        <w:rPr>
          <w:rFonts w:ascii="Times New Roman" w:hAnsi="Times New Roman"/>
          <w:color w:val="auto"/>
        </w:rPr>
        <w:t>OLED喷墨打印</w:t>
      </w:r>
      <w:r>
        <w:rPr>
          <w:rFonts w:hint="eastAsia" w:ascii="Times New Roman" w:hAnsi="Times New Roman"/>
          <w:color w:val="auto"/>
        </w:rPr>
        <w:t>成套</w:t>
      </w:r>
      <w:r>
        <w:rPr>
          <w:rFonts w:ascii="Times New Roman" w:hAnsi="Times New Roman"/>
          <w:color w:val="auto"/>
        </w:rPr>
        <w:t>装备，可以给喷墨打印过程</w:t>
      </w:r>
      <w:r>
        <w:rPr>
          <w:rFonts w:hint="eastAsia" w:ascii="Times New Roman" w:hAnsi="Times New Roman"/>
          <w:color w:val="auto"/>
        </w:rPr>
        <w:t>及基板传输过程</w:t>
      </w:r>
      <w:r>
        <w:rPr>
          <w:rFonts w:ascii="Times New Roman" w:hAnsi="Times New Roman"/>
          <w:color w:val="auto"/>
        </w:rPr>
        <w:t>提供低水氧含量、流场稳定、恒温恒压、高洁净度的密闭工艺环境</w:t>
      </w:r>
      <w:r>
        <w:rPr>
          <w:rFonts w:hint="eastAsia" w:ascii="Times New Roman" w:hAnsi="Times New Roman"/>
          <w:color w:val="auto"/>
        </w:rPr>
        <w:t>，</w:t>
      </w:r>
      <w:r>
        <w:rPr>
          <w:rFonts w:ascii="Times New Roman" w:hAnsi="Times New Roman"/>
          <w:color w:val="auto"/>
        </w:rPr>
        <w:t>能确保打印器件的最终一致性和优良性能</w:t>
      </w:r>
      <w:r>
        <w:rPr>
          <w:rFonts w:hint="eastAsia" w:ascii="Times New Roman" w:hAnsi="Times New Roman"/>
          <w:color w:val="auto"/>
        </w:rPr>
        <w:t>。</w:t>
      </w:r>
    </w:p>
    <w:p>
      <w:pPr>
        <w:numPr>
          <w:ilvl w:val="0"/>
          <w:numId w:val="2"/>
        </w:numPr>
        <w:spacing w:line="360" w:lineRule="auto"/>
        <w:ind w:firstLine="0"/>
        <w:outlineLvl w:val="0"/>
        <w:rPr>
          <w:rFonts w:hint="eastAsia" w:ascii="宋体" w:hAnsi="宋体" w:eastAsia="宋体" w:cs="宋体"/>
          <w:b/>
          <w:bCs/>
          <w:color w:val="auto"/>
          <w:szCs w:val="21"/>
        </w:rPr>
      </w:pPr>
      <w:r>
        <w:rPr>
          <w:rFonts w:hint="eastAsia" w:ascii="宋体" w:hAnsi="宋体" w:eastAsia="宋体" w:cs="宋体"/>
          <w:b/>
          <w:bCs/>
          <w:color w:val="auto"/>
          <w:szCs w:val="21"/>
        </w:rPr>
        <w:t>技术要求</w:t>
      </w:r>
    </w:p>
    <w:p>
      <w:pPr>
        <w:adjustRightInd w:val="0"/>
        <w:snapToGrid w:val="0"/>
        <w:spacing w:line="360" w:lineRule="auto"/>
        <w:rPr>
          <w:rFonts w:hint="eastAsia" w:ascii="宋体" w:hAnsi="宋体" w:eastAsia="宋体" w:cs="宋体"/>
          <w:b/>
          <w:bCs/>
          <w:color w:val="auto"/>
        </w:rPr>
      </w:pPr>
      <w:r>
        <w:rPr>
          <w:rFonts w:hint="eastAsia" w:ascii="宋体" w:hAnsi="宋体" w:eastAsia="宋体" w:cs="宋体"/>
          <w:b/>
          <w:bCs/>
          <w:color w:val="auto"/>
          <w:lang w:eastAsia="zh-CN"/>
        </w:rPr>
        <w:t>（</w:t>
      </w:r>
      <w:r>
        <w:rPr>
          <w:rFonts w:hint="eastAsia" w:ascii="宋体" w:hAnsi="宋体" w:eastAsia="宋体" w:cs="宋体"/>
          <w:b/>
          <w:bCs/>
          <w:color w:val="auto"/>
          <w:lang w:val="en-US" w:eastAsia="zh-CN"/>
        </w:rPr>
        <w:t>一</w:t>
      </w:r>
      <w:r>
        <w:rPr>
          <w:rFonts w:hint="eastAsia" w:ascii="宋体" w:hAnsi="宋体" w:eastAsia="宋体" w:cs="宋体"/>
          <w:b/>
          <w:bCs/>
          <w:color w:val="auto"/>
          <w:lang w:eastAsia="zh-CN"/>
        </w:rPr>
        <w:t>）</w:t>
      </w:r>
      <w:r>
        <w:rPr>
          <w:rFonts w:hint="eastAsia" w:ascii="宋体" w:hAnsi="宋体" w:eastAsia="宋体" w:cs="宋体"/>
          <w:b/>
          <w:bCs/>
          <w:color w:val="auto"/>
        </w:rPr>
        <w:t>适用范围</w:t>
      </w:r>
    </w:p>
    <w:p>
      <w:pPr>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本技术</w:t>
      </w:r>
      <w:r>
        <w:rPr>
          <w:rFonts w:hint="eastAsia" w:ascii="宋体" w:hAnsi="宋体" w:eastAsia="宋体" w:cs="宋体"/>
          <w:color w:val="auto"/>
          <w:lang w:val="en-US" w:eastAsia="zh-CN"/>
        </w:rPr>
        <w:t>要求</w:t>
      </w:r>
      <w:r>
        <w:rPr>
          <w:rFonts w:hint="eastAsia" w:ascii="宋体" w:hAnsi="宋体" w:eastAsia="宋体" w:cs="宋体"/>
          <w:color w:val="auto"/>
        </w:rPr>
        <w:t>适用于OLED环境维持系统的设计、制造、出厂测试、现场安装调试验收及在役运行全过程。</w:t>
      </w:r>
    </w:p>
    <w:p>
      <w:pPr>
        <w:adjustRightInd w:val="0"/>
        <w:snapToGrid w:val="0"/>
        <w:spacing w:line="360" w:lineRule="auto"/>
        <w:rPr>
          <w:rFonts w:hint="eastAsia" w:ascii="宋体" w:hAnsi="宋体" w:eastAsia="宋体" w:cs="宋体"/>
          <w:b/>
          <w:bCs/>
          <w:color w:val="auto"/>
        </w:rPr>
      </w:pPr>
      <w:r>
        <w:rPr>
          <w:rFonts w:hint="eastAsia" w:ascii="宋体" w:hAnsi="宋体" w:eastAsia="宋体" w:cs="宋体"/>
          <w:b/>
          <w:bCs/>
          <w:color w:val="auto"/>
          <w:lang w:eastAsia="zh-CN"/>
        </w:rPr>
        <w:t>（</w:t>
      </w:r>
      <w:r>
        <w:rPr>
          <w:rFonts w:hint="eastAsia" w:ascii="宋体" w:hAnsi="宋体" w:eastAsia="宋体" w:cs="宋体"/>
          <w:b/>
          <w:bCs/>
          <w:color w:val="auto"/>
          <w:lang w:val="en-US" w:eastAsia="zh-CN"/>
        </w:rPr>
        <w:t>二</w:t>
      </w:r>
      <w:r>
        <w:rPr>
          <w:rFonts w:hint="eastAsia" w:ascii="宋体" w:hAnsi="宋体" w:eastAsia="宋体" w:cs="宋体"/>
          <w:b/>
          <w:bCs/>
          <w:color w:val="auto"/>
          <w:lang w:eastAsia="zh-CN"/>
        </w:rPr>
        <w:t>）</w:t>
      </w:r>
      <w:r>
        <w:rPr>
          <w:rFonts w:hint="eastAsia" w:ascii="宋体" w:hAnsi="宋体" w:eastAsia="宋体" w:cs="宋体"/>
          <w:b/>
          <w:bCs/>
          <w:color w:val="auto"/>
        </w:rPr>
        <w:t>规范性引用文件</w:t>
      </w:r>
    </w:p>
    <w:p>
      <w:pPr>
        <w:adjustRightInd w:val="0"/>
        <w:snapToGrid w:val="0"/>
        <w:spacing w:line="360" w:lineRule="auto"/>
        <w:ind w:left="420" w:leftChars="200" w:firstLine="0" w:firstLineChars="0"/>
        <w:rPr>
          <w:rFonts w:hint="eastAsia" w:ascii="宋体" w:hAnsi="宋体" w:eastAsia="宋体" w:cs="宋体"/>
          <w:color w:val="auto"/>
        </w:rPr>
      </w:pPr>
      <w:r>
        <w:rPr>
          <w:rFonts w:hint="eastAsia" w:ascii="宋体" w:hAnsi="宋体" w:eastAsia="宋体" w:cs="宋体"/>
          <w:color w:val="auto"/>
        </w:rPr>
        <w:t>下列文件中的内容通过文中的规范性引用而构成本技术规范书不可或缺的组成部分。2.1 密封与泄漏率</w:t>
      </w:r>
    </w:p>
    <w:p>
      <w:pPr>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 ISO 10648-2:1994《密封箱室 第2部分：密封性分级及检验方法》</w:t>
      </w:r>
    </w:p>
    <w:p>
      <w:pPr>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 EJ/T 1096-1999《密封箱室密封性分级及其检验方法》（等同采用ISO 10648-2:1994）</w:t>
      </w:r>
    </w:p>
    <w:p>
      <w:pPr>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2.2 洁净度</w:t>
      </w:r>
    </w:p>
    <w:p>
      <w:pPr>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 ISO 14644-1:2015《洁净室及相关受控环境 第1部分：按粒子浓度划分空气洁净等级》</w:t>
      </w:r>
    </w:p>
    <w:p>
      <w:pPr>
        <w:adjustRightInd w:val="0"/>
        <w:snapToGrid w:val="0"/>
        <w:spacing w:line="360" w:lineRule="auto"/>
        <w:ind w:firstLine="420" w:firstLineChars="200"/>
        <w:rPr>
          <w:rFonts w:hint="eastAsia" w:ascii="宋体" w:hAnsi="宋体" w:eastAsia="宋体" w:cs="宋体"/>
          <w:b/>
          <w:color w:val="auto"/>
          <w:kern w:val="0"/>
          <w:szCs w:val="21"/>
          <w:lang w:val="en-AU"/>
        </w:rPr>
      </w:pPr>
      <w:r>
        <w:rPr>
          <w:rFonts w:hint="eastAsia" w:ascii="宋体" w:hAnsi="宋体" w:eastAsia="宋体" w:cs="宋体"/>
          <w:color w:val="auto"/>
        </w:rPr>
        <w:t>- GB/T 25915.1-2010《洁净室及相关受控环境 第1部分：空气洁净度等级》（等同采用ISO 14644-1）</w:t>
      </w:r>
    </w:p>
    <w:p>
      <w:pPr>
        <w:widowControl/>
        <w:spacing w:line="360" w:lineRule="auto"/>
        <w:jc w:val="left"/>
        <w:rPr>
          <w:rFonts w:hint="eastAsia" w:ascii="宋体" w:hAnsi="宋体" w:eastAsia="宋体" w:cs="宋体"/>
          <w:b/>
          <w:color w:val="auto"/>
          <w:kern w:val="0"/>
          <w:szCs w:val="21"/>
          <w:lang w:val="en-AU" w:eastAsia="en-US"/>
        </w:rPr>
      </w:pPr>
      <w:r>
        <w:rPr>
          <w:rFonts w:ascii="宋体" w:hAnsi="宋体" w:eastAsia="宋体" w:cs="宋体"/>
          <w:b/>
          <w:color w:val="auto"/>
          <w:kern w:val="0"/>
          <w:szCs w:val="21"/>
          <w:lang w:val="en-AU"/>
        </w:rPr>
        <w:t>（</w:t>
      </w:r>
      <w:r>
        <w:rPr>
          <w:rFonts w:hint="eastAsia" w:ascii="宋体" w:hAnsi="宋体" w:eastAsia="宋体" w:cs="宋体"/>
          <w:b/>
          <w:color w:val="auto"/>
          <w:kern w:val="0"/>
          <w:szCs w:val="21"/>
          <w:lang w:val="en-US" w:eastAsia="zh-CN"/>
        </w:rPr>
        <w:t>三</w:t>
      </w:r>
      <w:r>
        <w:rPr>
          <w:rFonts w:ascii="宋体" w:hAnsi="宋体" w:eastAsia="宋体" w:cs="宋体"/>
          <w:b/>
          <w:color w:val="auto"/>
          <w:kern w:val="0"/>
          <w:szCs w:val="21"/>
          <w:lang w:val="en-AU"/>
        </w:rPr>
        <w:t>）</w:t>
      </w:r>
      <w:r>
        <w:rPr>
          <w:rFonts w:ascii="宋体" w:hAnsi="宋体" w:eastAsia="宋体" w:cs="宋体"/>
          <w:b/>
          <w:color w:val="auto"/>
          <w:kern w:val="0"/>
          <w:szCs w:val="21"/>
          <w:lang w:val="en-AU" w:eastAsia="en-US"/>
        </w:rPr>
        <w:t>功能</w:t>
      </w:r>
    </w:p>
    <w:p>
      <w:pPr>
        <w:tabs>
          <w:tab w:val="left" w:pos="540"/>
        </w:tabs>
        <w:adjustRightInd w:val="0"/>
        <w:snapToGrid w:val="0"/>
        <w:spacing w:line="360" w:lineRule="auto"/>
        <w:ind w:firstLine="420" w:firstLineChars="200"/>
        <w:rPr>
          <w:rFonts w:ascii="Times New Roman" w:hAnsi="Times New Roman" w:eastAsia="宋体" w:cs="Courier New"/>
          <w:color w:val="auto"/>
          <w:szCs w:val="21"/>
        </w:rPr>
      </w:pPr>
      <w:r>
        <w:rPr>
          <w:rFonts w:ascii="宋体" w:hAnsi="宋体" w:eastAsia="宋体" w:cs="Courier New"/>
          <w:color w:val="auto"/>
          <w:szCs w:val="21"/>
        </w:rPr>
        <w:t>本设备</w:t>
      </w:r>
      <w:r>
        <w:rPr>
          <w:rFonts w:ascii="Times New Roman" w:hAnsi="Times New Roman" w:eastAsia="宋体" w:cs="Courier New"/>
          <w:color w:val="auto"/>
          <w:szCs w:val="21"/>
        </w:rPr>
        <w:t>用于G8.6 OLED喷墨打印成套装备，根据打印装备的功能需求分为OLED喷墨打印环境维持系统、OLED基板传输环境维持系统以及OLED加墨手套箱系统三个部分其中：</w:t>
      </w:r>
    </w:p>
    <w:p>
      <w:pPr>
        <w:tabs>
          <w:tab w:val="left" w:pos="540"/>
        </w:tabs>
        <w:adjustRightInd w:val="0"/>
        <w:snapToGrid w:val="0"/>
        <w:spacing w:line="360" w:lineRule="auto"/>
        <w:ind w:firstLine="420" w:firstLineChars="200"/>
        <w:rPr>
          <w:rFonts w:ascii="Times New Roman" w:hAnsi="Times New Roman" w:eastAsia="宋体" w:cs="Courier New"/>
          <w:color w:val="auto"/>
          <w:szCs w:val="21"/>
        </w:rPr>
      </w:pPr>
      <w:r>
        <w:rPr>
          <w:rFonts w:ascii="Times New Roman" w:hAnsi="Times New Roman" w:eastAsia="宋体" w:cs="Courier New"/>
          <w:color w:val="auto"/>
          <w:szCs w:val="21"/>
        </w:rPr>
        <w:t>OLED喷墨打印环境维持系统可以给喷墨打印过程提供低水氧含量、流场稳定、恒温恒压、高洁净度的密闭工艺环境，确保打印器件的最终一致性和优良性能；</w:t>
      </w:r>
    </w:p>
    <w:p>
      <w:pPr>
        <w:tabs>
          <w:tab w:val="left" w:pos="540"/>
        </w:tabs>
        <w:adjustRightInd w:val="0"/>
        <w:snapToGrid w:val="0"/>
        <w:spacing w:line="360" w:lineRule="auto"/>
        <w:ind w:firstLine="420" w:firstLineChars="200"/>
        <w:rPr>
          <w:rFonts w:ascii="Times New Roman" w:hAnsi="Times New Roman" w:eastAsia="宋体" w:cs="Courier New"/>
          <w:color w:val="auto"/>
          <w:szCs w:val="21"/>
        </w:rPr>
      </w:pPr>
      <w:r>
        <w:rPr>
          <w:rFonts w:ascii="Times New Roman" w:hAnsi="Times New Roman" w:eastAsia="宋体" w:cs="Courier New"/>
          <w:color w:val="auto"/>
          <w:szCs w:val="21"/>
        </w:rPr>
        <w:t>OLED基板传输环境维持系统可以保证基板在与OLED喷墨打印机、VCD真空干燥装备、HPB高温烘烤装备、Load Lock气氛切换装备等设备间的传输过程中全程保持洁净干燥、低水氧含量、无静电；</w:t>
      </w:r>
    </w:p>
    <w:p>
      <w:pPr>
        <w:tabs>
          <w:tab w:val="left" w:pos="540"/>
        </w:tabs>
        <w:adjustRightInd w:val="0"/>
        <w:snapToGrid w:val="0"/>
        <w:spacing w:line="360" w:lineRule="auto"/>
        <w:ind w:firstLine="420" w:firstLineChars="200"/>
        <w:rPr>
          <w:rFonts w:hint="eastAsia" w:ascii="宋体" w:hAnsi="宋体" w:eastAsia="宋体" w:cs="Courier New"/>
          <w:color w:val="auto"/>
          <w:szCs w:val="21"/>
        </w:rPr>
      </w:pPr>
      <w:r>
        <w:rPr>
          <w:rFonts w:ascii="Times New Roman" w:hAnsi="Times New Roman" w:eastAsia="宋体" w:cs="Courier New"/>
          <w:color w:val="auto"/>
          <w:szCs w:val="21"/>
        </w:rPr>
        <w:t>OLED加墨手套箱系统可以保证OLED加墨过程的低水氧含量、恒温恒压、高洁净度的密闭工艺环境。</w:t>
      </w:r>
    </w:p>
    <w:p>
      <w:pPr>
        <w:widowControl/>
        <w:numPr>
          <w:ilvl w:val="0"/>
          <w:numId w:val="0"/>
        </w:numPr>
        <w:spacing w:line="360" w:lineRule="auto"/>
        <w:jc w:val="left"/>
        <w:rPr>
          <w:rFonts w:hint="eastAsia" w:ascii="宋体" w:hAnsi="宋体" w:eastAsia="宋体" w:cs="宋体"/>
          <w:b/>
          <w:color w:val="auto"/>
          <w:kern w:val="0"/>
          <w:szCs w:val="21"/>
        </w:rPr>
      </w:pPr>
      <w:r>
        <w:rPr>
          <w:rFonts w:hint="eastAsia" w:ascii="宋体" w:hAnsi="宋体" w:eastAsia="宋体" w:cs="宋体"/>
          <w:b/>
          <w:color w:val="auto"/>
          <w:kern w:val="0"/>
          <w:szCs w:val="21"/>
          <w:lang w:val="en-AU" w:eastAsia="zh-CN"/>
        </w:rPr>
        <w:t>（</w:t>
      </w:r>
      <w:r>
        <w:rPr>
          <w:rFonts w:hint="eastAsia" w:ascii="宋体" w:hAnsi="宋体" w:eastAsia="宋体" w:cs="宋体"/>
          <w:b/>
          <w:color w:val="auto"/>
          <w:kern w:val="0"/>
          <w:szCs w:val="21"/>
          <w:lang w:val="en-US" w:eastAsia="zh-CN"/>
        </w:rPr>
        <w:t>四</w:t>
      </w:r>
      <w:r>
        <w:rPr>
          <w:rFonts w:hint="eastAsia" w:ascii="宋体" w:hAnsi="宋体" w:eastAsia="宋体" w:cs="宋体"/>
          <w:b/>
          <w:color w:val="auto"/>
          <w:kern w:val="0"/>
          <w:szCs w:val="21"/>
          <w:lang w:val="en-AU" w:eastAsia="zh-CN"/>
        </w:rPr>
        <w:t>）</w:t>
      </w:r>
      <w:r>
        <w:rPr>
          <w:rFonts w:ascii="宋体" w:hAnsi="宋体" w:eastAsia="宋体" w:cs="宋体"/>
          <w:b/>
          <w:color w:val="auto"/>
          <w:kern w:val="0"/>
          <w:szCs w:val="21"/>
          <w:lang w:val="en-AU"/>
        </w:rPr>
        <w:t>性能指标</w:t>
      </w:r>
    </w:p>
    <w:p>
      <w:pPr>
        <w:spacing w:line="360" w:lineRule="auto"/>
        <w:rPr>
          <w:rFonts w:ascii="Times New Roman" w:hAnsi="Times New Roman" w:eastAsia="宋体" w:cs="Times New Roman"/>
          <w:b/>
          <w:bCs/>
          <w:color w:val="auto"/>
          <w:szCs w:val="24"/>
        </w:rPr>
      </w:pPr>
      <w:r>
        <w:rPr>
          <w:rFonts w:ascii="Times New Roman" w:hAnsi="Times New Roman" w:eastAsia="宋体" w:cs="Times New Roman"/>
          <w:b/>
          <w:bCs/>
          <w:color w:val="auto"/>
          <w:szCs w:val="24"/>
        </w:rPr>
        <w:t>1总体技术要求</w:t>
      </w:r>
    </w:p>
    <w:p>
      <w:pPr>
        <w:spacing w:line="360" w:lineRule="auto"/>
        <w:rPr>
          <w:rFonts w:ascii="Times New Roman" w:hAnsi="Times New Roman" w:eastAsia="宋体" w:cs="Times New Roman"/>
          <w:color w:val="auto"/>
          <w:szCs w:val="24"/>
        </w:rPr>
      </w:pPr>
      <w:r>
        <w:rPr>
          <w:rFonts w:ascii="宋体" w:hAnsi="宋体" w:eastAsia="宋体" w:cs="Times New Roman"/>
          <w:b/>
          <w:bCs/>
          <w:color w:val="auto"/>
          <w:szCs w:val="21"/>
        </w:rPr>
        <w:t>★</w:t>
      </w:r>
      <w:r>
        <w:rPr>
          <w:rFonts w:ascii="Times New Roman" w:hAnsi="Times New Roman" w:eastAsia="宋体" w:cs="Times New Roman"/>
          <w:color w:val="auto"/>
          <w:szCs w:val="24"/>
        </w:rPr>
        <w:t>1.1</w:t>
      </w:r>
      <w:r>
        <w:rPr>
          <w:rFonts w:ascii="Times New Roman" w:hAnsi="宋体" w:eastAsia="宋体" w:cs="Times New Roman"/>
          <w:color w:val="auto"/>
          <w:szCs w:val="24"/>
        </w:rPr>
        <w:t>本设备由</w:t>
      </w:r>
      <w:r>
        <w:rPr>
          <w:rFonts w:ascii="Times New Roman" w:hAnsi="Times New Roman" w:eastAsia="宋体" w:cs="Times New Roman"/>
          <w:color w:val="auto"/>
          <w:szCs w:val="24"/>
        </w:rPr>
        <w:t>OLED喷墨打印环境维持系统、OLED基板传输环境维持系统以及OLED加墨手套箱系统三个部分组成，配备有过渡舱、检修门、检修口、过线板、插板阀、静电消除系统、UPS断电保护系统、层流控制系统、温度控制系统、压力控制系统、气体纯化器系统以及配套的软件/电气控制系统、监控系统等。其中：</w:t>
      </w:r>
    </w:p>
    <w:p>
      <w:pPr>
        <w:spacing w:line="360" w:lineRule="auto"/>
        <w:ind w:firstLine="420" w:firstLineChars="200"/>
        <w:rPr>
          <w:rFonts w:ascii="Times New Roman" w:hAnsi="Times New Roman" w:eastAsia="宋体" w:cs="Times New Roman"/>
          <w:color w:val="auto"/>
          <w:szCs w:val="24"/>
        </w:rPr>
      </w:pPr>
      <w:r>
        <w:rPr>
          <w:rFonts w:ascii="Times New Roman" w:hAnsi="Times New Roman" w:eastAsia="宋体" w:cs="Times New Roman"/>
          <w:color w:val="auto"/>
          <w:szCs w:val="24"/>
        </w:rPr>
        <w:t>OLED喷墨打印环境维持系统包含密封箱体和纯化器系统两部分，数量为1套，要求可独立控制，内置净空间足以容纳采购人喷墨打印设备，尺寸大于7.8×7.6×3.3m（长×宽×高）。</w:t>
      </w:r>
    </w:p>
    <w:p>
      <w:pPr>
        <w:spacing w:line="360" w:lineRule="auto"/>
        <w:ind w:firstLine="420" w:firstLineChars="200"/>
        <w:rPr>
          <w:rFonts w:ascii="Times New Roman" w:hAnsi="Times New Roman" w:eastAsia="宋体" w:cs="Times New Roman"/>
          <w:color w:val="auto"/>
          <w:szCs w:val="24"/>
        </w:rPr>
      </w:pPr>
      <w:r>
        <w:rPr>
          <w:rFonts w:ascii="Times New Roman" w:hAnsi="Times New Roman" w:eastAsia="宋体" w:cs="Times New Roman"/>
          <w:color w:val="auto"/>
          <w:szCs w:val="24"/>
        </w:rPr>
        <w:t>OLED基板传输环境维持系统包含密封箱体和纯化器系统两部分，数量为1套，要求可独立控制，内置净空间足以容纳采购人基板传输机器人设备，尺寸大于8×4.4×2.7m（长×宽×高）。</w:t>
      </w:r>
    </w:p>
    <w:p>
      <w:pPr>
        <w:spacing w:line="360" w:lineRule="auto"/>
        <w:ind w:firstLine="420" w:firstLineChars="200"/>
        <w:rPr>
          <w:rFonts w:ascii="Times New Roman" w:hAnsi="Times New Roman" w:eastAsia="宋体" w:cs="Times New Roman"/>
          <w:color w:val="auto"/>
          <w:szCs w:val="24"/>
        </w:rPr>
      </w:pPr>
      <w:r>
        <w:rPr>
          <w:rFonts w:ascii="Times New Roman" w:hAnsi="Times New Roman" w:eastAsia="宋体" w:cs="Times New Roman"/>
          <w:color w:val="auto"/>
          <w:szCs w:val="24"/>
        </w:rPr>
        <w:t xml:space="preserve"> OLED加墨手套箱系统包含密封箱体和纯化器系统两部分，数量为2套，要求可独立控制，每套内置净空间足以容纳采购人加墨系统设备，每套尺寸大于1.1×0.7×0.8m（长×宽×高）。 ；</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1.2 OLED喷墨打印环境维持系统和OLED基板传输环境维持系统之间用阀门隔开，可分别独立控制两个系统箱体内部的气体氛围。当门阀打开进行基板传输时，两系统箱体间应保持压力平衡。OLED加墨手套箱系统是可独立使用的单工位手套箱，每套OLED加墨手套箱系统和OLED喷墨打印环境维持系统之间通过墨管连接两个箱体内部的加墨设备；</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1.3 OLED喷墨打印环境维持系统安装在采购人洁净间现场的隔振地基表面上，投标人需据此核对好对接盲孔的孔径、数量及位置，确保密封箱体与隔振地基密封安装的完整性及可靠性；</w:t>
      </w:r>
    </w:p>
    <w:p>
      <w:pPr>
        <w:spacing w:line="360" w:lineRule="auto"/>
        <w:rPr>
          <w:rFonts w:ascii="Times New Roman" w:hAnsi="Times New Roman" w:eastAsia="宋体" w:cs="Times New Roman"/>
          <w:color w:val="auto"/>
          <w:szCs w:val="24"/>
        </w:rPr>
      </w:pPr>
      <w:r>
        <w:rPr>
          <w:rFonts w:ascii="宋体" w:hAnsi="宋体" w:eastAsia="宋体" w:cs="Times New Roman"/>
          <w:b/>
          <w:bCs/>
          <w:color w:val="auto"/>
          <w:szCs w:val="21"/>
        </w:rPr>
        <w:t>★</w:t>
      </w:r>
      <w:r>
        <w:rPr>
          <w:rFonts w:ascii="Times New Roman" w:hAnsi="Times New Roman" w:eastAsia="宋体" w:cs="Times New Roman"/>
          <w:color w:val="auto"/>
          <w:szCs w:val="24"/>
        </w:rPr>
        <w:t>1.4 基板传输机器人（由采购人提供）安装在OLED基板传输环境维持系统的箱体底座上，箱体底座由投标人设计，须确保基板传输机器人的安装精度、运动传输精度以及运动可达性要求。同时，OLED基板传输环境维持系统须根据采购人需求预留好VCD真空干燥设备、HPB高温烘烤设备、Load Lock设备等子设备的对接法兰口，确保采购人所有相关后续设备与OLED基板传输环境维持系统的集成；</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1.5 OLED加墨手套箱系统可独立使用，安置于OLED喷墨打印环境维持系统侧面，通过墨管与OLED喷墨打印环境维持系统连接，其内部放置采购人的加墨设备（含有剧毒），必须确保手套箱的密封性能。配备有一大一小两个过渡仓，用于在不破坏箱体内洁净惰性气体氛围下传递内外物品。同时，须根据采购人需求预留多组备用法兰；</w:t>
      </w:r>
    </w:p>
    <w:p>
      <w:pPr>
        <w:spacing w:line="360" w:lineRule="auto"/>
        <w:rPr>
          <w:rFonts w:hint="eastAsia" w:ascii="Times New Roman" w:hAnsi="宋体" w:eastAsia="宋体" w:cs="Times New Roman"/>
          <w:color w:val="auto"/>
          <w:szCs w:val="24"/>
          <w:highlight w:val="yellow"/>
        </w:rPr>
      </w:pPr>
      <w:r>
        <w:rPr>
          <w:rFonts w:ascii="Times New Roman" w:hAnsi="Times New Roman" w:eastAsia="宋体" w:cs="Times New Roman"/>
          <w:color w:val="auto"/>
          <w:szCs w:val="24"/>
        </w:rPr>
        <w:t>1.6 OLED喷墨打印环境维持系统和OLED基板传输环境维持系统在箱体内部装有监控摄像头，要求监控可按采购人要求覆盖所指定的区域；</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1.7所有环境维持系统均配备红、黄两种光源照明，可根据需求自由切换使用。所有视窗玻璃均采用钢化玻璃材质，并在表面贴防UV光的红光膜；</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1.8所有环境维持系统的设计需确保密封箱体的强度、承压能力以及密封完整性，同时减少箱体与外界环境的热交换，维持箱体内温度的稳定性及精度；</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1.9层流控制系统：所有环境维持系统的箱体顶部均设置有除尘单元，包括灰尘过滤器、FFU循环风机、冷却换热板、气流控制单元，保证箱体内洁净度满足ISO3（国际标准ISO14644）或以上，气流覆盖率达到85%（含）以上。通过层流控制系统，控制箱体内层流为单一方向稳定气流，气流流速范围在0.2 m/s（含）-0.5m/s（含）内，以消除打印过程中气流对墨滴飞行轨迹的不利影响，保证打印墨滴的落点精度；</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1.10压力控制系统：所有环境维持系统内压力通过 PLC 自动控制，工作压力在0mbar至+10mbar（含）范围内可以自由设定（超出设定值系统自动保护）。循环或待机时要求箱压控制精度在±0.5mbar（含）范围以内，清洗时箱压控制精度在±1mbar范围（含）以内，并且OLED喷墨打印环境维持系统与OLED基板传输环境维持系统在对接时（门阀打开状态）需通过控制保证两个箱体性压力的一致稳定。同时，所有环境维持系统需配备机械泄压阀以防止出现意外时箱体内压力过大造成事故；</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1.11温度控制系统：所有环境维持系统配备水冷式温控器，对密封箱体内温度进行精确控制，其中OLED喷墨打印环境维持系统的温度控制精度要求在23±0.5℃（含）范围以内、OLED基板传输环境维持系统的温度控制精度要求在23±2℃（含）范围以内、OLED加墨手套箱系统的控制精度要求在23±1℃（含）范围以内；</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cs="Times New Roman"/>
          <w:color w:val="auto"/>
          <w:szCs w:val="24"/>
        </w:rPr>
      </w:pPr>
      <w:r>
        <w:rPr>
          <w:rFonts w:ascii="Times New Roman" w:hAnsi="Times New Roman" w:eastAsia="宋体" w:cs="Times New Roman"/>
          <w:color w:val="auto"/>
          <w:szCs w:val="24"/>
        </w:rPr>
        <w:t>1.12静电消除系统：OLED喷墨打印环境维持系统和OLED基板传输环境维持系统在各个基板传输口位置须配备静电消除装置，消除基板在传输过程中所携带或所产生的静电。其中在OLED基板传输环境维持系统内安置有X-RAY静电消除装置，要求能够覆盖箱体内所有子设备（包括但不限于VCD真空干燥设备、HPB高温烘烤设备、Load Lock设备）基板进出口位置，保证基板在传输过程中无静电。在OLED喷墨打印环境维持系统内安置至少1个X-RAY静电消除装置，可消除基板通过阀门进入OLED喷墨打印环境维持系统内所携带或所产生的静电；</w:t>
      </w:r>
    </w:p>
    <w:p>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cs="Times New Roman"/>
          <w:color w:val="auto"/>
          <w:szCs w:val="24"/>
        </w:rPr>
      </w:pPr>
      <w:r>
        <w:rPr>
          <w:rFonts w:ascii="Times New Roman" w:hAnsi="Times New Roman" w:eastAsia="宋体" w:cs="Times New Roman"/>
          <w:color w:val="auto"/>
          <w:szCs w:val="24"/>
        </w:rPr>
        <w:t>1.13 UPS断电保护系统：</w:t>
      </w:r>
      <w:bookmarkStart w:id="10" w:name="OLE_LINK31"/>
      <w:r>
        <w:rPr>
          <w:rFonts w:ascii="Times New Roman" w:hAnsi="Times New Roman" w:eastAsia="宋体" w:cs="Times New Roman"/>
          <w:color w:val="auto"/>
          <w:szCs w:val="24"/>
        </w:rPr>
        <w:t>OLED喷墨打印环境维持系统</w:t>
      </w:r>
      <w:bookmarkEnd w:id="10"/>
      <w:r>
        <w:rPr>
          <w:rFonts w:ascii="Times New Roman" w:hAnsi="Times New Roman" w:eastAsia="宋体" w:cs="Times New Roman"/>
          <w:color w:val="auto"/>
          <w:szCs w:val="24"/>
        </w:rPr>
        <w:t>与OLED基板传输环境维持系统均配有</w:t>
      </w:r>
      <w:r>
        <w:rPr>
          <w:rFonts w:hint="eastAsia"/>
          <w:color w:val="auto"/>
        </w:rPr>
        <w:t>持续供电设备</w:t>
      </w:r>
      <w:r>
        <w:rPr>
          <w:rFonts w:hint="eastAsia"/>
          <w:color w:val="auto"/>
          <w:lang w:eastAsia="zh-CN"/>
        </w:rPr>
        <w:t>，</w:t>
      </w:r>
      <w:r>
        <w:rPr>
          <w:rFonts w:ascii="Times New Roman" w:hAnsi="Times New Roman" w:eastAsia="宋体" w:cs="Times New Roman"/>
          <w:color w:val="auto"/>
          <w:szCs w:val="24"/>
        </w:rPr>
        <w:t>功率为1000KVA，可自动切入维持时间≥15 分钟（为PLC 控制器、触摸屏、维持压力的阀门、安全保护的阀门、感应开关、水氧传感器提供应急供电）；</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cs="Times New Roman"/>
          <w:color w:val="auto"/>
          <w:szCs w:val="24"/>
        </w:rPr>
      </w:pPr>
      <w:r>
        <w:rPr>
          <w:rFonts w:ascii="Times New Roman" w:hAnsi="Times New Roman" w:eastAsia="宋体" w:cs="Times New Roman"/>
          <w:color w:val="auto"/>
          <w:szCs w:val="24"/>
        </w:rPr>
        <w:t>1.14 每套OLED加墨手套箱系统须配备大、小过渡舱各一个。OLED喷墨打印环境维持系统与OLED基板传输环境维持系统须根据采购人需求配备多个供人进入的维护检修门以及观察窗；</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cs="Times New Roman"/>
          <w:color w:val="auto"/>
          <w:szCs w:val="24"/>
        </w:rPr>
      </w:pPr>
      <w:r>
        <w:rPr>
          <w:rFonts w:ascii="Times New Roman" w:hAnsi="Times New Roman" w:eastAsia="宋体" w:cs="Times New Roman"/>
          <w:color w:val="auto"/>
          <w:szCs w:val="24"/>
        </w:rPr>
        <w:t>1.15纯化器系统（</w:t>
      </w:r>
      <w:bookmarkStart w:id="11" w:name="OLE_LINK21"/>
      <w:bookmarkStart w:id="12" w:name="OLE_LINK22"/>
      <w:r>
        <w:rPr>
          <w:rFonts w:ascii="Times New Roman" w:hAnsi="Times New Roman" w:eastAsia="宋体" w:cs="Times New Roman"/>
          <w:color w:val="auto"/>
          <w:szCs w:val="24"/>
        </w:rPr>
        <w:t>OLED喷墨打印环境维持系统</w:t>
      </w:r>
      <w:bookmarkEnd w:id="11"/>
      <w:bookmarkEnd w:id="12"/>
      <w:r>
        <w:rPr>
          <w:rFonts w:ascii="Times New Roman" w:hAnsi="Times New Roman" w:eastAsia="宋体" w:cs="Times New Roman"/>
          <w:color w:val="auto"/>
          <w:szCs w:val="24"/>
        </w:rPr>
        <w:t>与OLED基板传输环境维持系统）：用于控制环境维持系统箱体内的气体循环净化，须控制水含量≤1ppm、氧含量≤1ppm、臭氧含量≤5ppb、有机物（VOC）含量≤5ppm。</w:t>
      </w:r>
      <w:bookmarkStart w:id="13" w:name="OLE_LINK30"/>
      <w:bookmarkStart w:id="14" w:name="OLE_LINK27"/>
      <w:r>
        <w:rPr>
          <w:rFonts w:ascii="Times New Roman" w:hAnsi="Times New Roman" w:eastAsia="宋体" w:cs="Times New Roman"/>
          <w:color w:val="auto"/>
          <w:szCs w:val="24"/>
        </w:rPr>
        <w:t>氧含量传感器检测范围及精度要求0-1000ppm（精度不低于0.2ppm（含））、水含量传感器检测范围及精度要求0-1000ppm（精度不低于0.2ppm（含））</w:t>
      </w:r>
      <w:bookmarkEnd w:id="13"/>
      <w:bookmarkEnd w:id="14"/>
      <w:r>
        <w:rPr>
          <w:rFonts w:ascii="Times New Roman" w:hAnsi="Times New Roman" w:eastAsia="宋体" w:cs="Times New Roman"/>
          <w:color w:val="auto"/>
          <w:szCs w:val="24"/>
        </w:rPr>
        <w:t>、氧气浓度传感器检测范围及精度要求0-25%（精度在读数的±2%范围以内（含））、压力计测量范围及精度要求-1250至+1250Pa（精度不低于1%FS（含））、VOC有机物溶度传感器测量范围及精度要求0至50ppm（精度在±5%FS范围以内（含））。可通过显示屏查看24小时内水氧含量变化曲线和压力变化曲线。可实现自动开启和关闭N</w:t>
      </w:r>
      <w:r>
        <w:rPr>
          <w:rFonts w:ascii="Times New Roman" w:hAnsi="Times New Roman" w:eastAsia="宋体" w:cs="Times New Roman"/>
          <w:color w:val="auto"/>
          <w:szCs w:val="24"/>
          <w:vertAlign w:val="subscript"/>
        </w:rPr>
        <w:t>2</w:t>
      </w:r>
      <w:r>
        <w:rPr>
          <w:rFonts w:ascii="Times New Roman" w:hAnsi="Times New Roman" w:eastAsia="宋体" w:cs="Times New Roman"/>
          <w:color w:val="auto"/>
          <w:szCs w:val="24"/>
        </w:rPr>
        <w:t xml:space="preserve"> Purge，Air Purge完成后可与服务门实现互锁。配备水氧及有机溶剂吸附柱（OLED喷墨打印环境维持系统单独须额外含臭氧吸附材料），吸附柱数量为2组（一备一用，可切换使用），可再生循环使用（需要再生时系统可提供报警提示）。吸附柱的再生时间间隔均≥5个月/次，更换周期均≥5年。风机出口安装有 U15 高效过滤器（前后有压差监测），热交换器控制气体温度；</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1.16纯化器系统（OLED加墨手套箱系统）：用于控制手套箱体内的气体循环净化，需保证箱体水含量≤1ppm、氧含量≤1ppm。氧含量传感器检测范围及精度要求0-1000ppm（精度不低于0.2ppm（含））、水含量传感器检测范围及精度要求0-1000ppm（精度不低于0.2ppm（含））。可通过显示屏查看24小时内水氧含量变化曲线和压力变化曲线，可实现自动开启和关闭N</w:t>
      </w:r>
      <w:r>
        <w:rPr>
          <w:rFonts w:ascii="Times New Roman" w:hAnsi="Times New Roman" w:eastAsia="宋体" w:cs="Times New Roman"/>
          <w:color w:val="auto"/>
          <w:szCs w:val="24"/>
          <w:vertAlign w:val="subscript"/>
        </w:rPr>
        <w:t>2</w:t>
      </w:r>
      <w:r>
        <w:rPr>
          <w:rFonts w:ascii="Times New Roman" w:hAnsi="Times New Roman" w:eastAsia="宋体" w:cs="Times New Roman"/>
          <w:color w:val="auto"/>
          <w:szCs w:val="24"/>
        </w:rPr>
        <w:t xml:space="preserve"> Purge，Air Purge完成后可与服务门实现互锁；</w:t>
      </w:r>
    </w:p>
    <w:p>
      <w:pPr>
        <w:spacing w:line="360" w:lineRule="auto"/>
        <w:rPr>
          <w:rFonts w:ascii="Times New Roman" w:hAnsi="Times New Roman" w:eastAsia="宋体" w:cs="Times New Roman"/>
          <w:color w:val="auto"/>
          <w:szCs w:val="24"/>
        </w:rPr>
      </w:pPr>
      <w:r>
        <w:rPr>
          <w:rFonts w:ascii="Times New Roman" w:hAnsi="Times New Roman" w:eastAsia="宋体" w:cs="Times New Roman"/>
          <w:b/>
          <w:bCs/>
          <w:color w:val="auto"/>
          <w:szCs w:val="24"/>
        </w:rPr>
        <w:t>2 OLED喷墨打印环境维持系统精度要求</w:t>
      </w:r>
    </w:p>
    <w:p>
      <w:pPr>
        <w:spacing w:line="360" w:lineRule="auto"/>
        <w:rPr>
          <w:rFonts w:ascii="Times New Roman" w:hAnsi="Times New Roman" w:eastAsia="宋体" w:cs="Times New Roman"/>
          <w:color w:val="auto"/>
          <w:szCs w:val="24"/>
        </w:rPr>
      </w:pPr>
      <w:r>
        <w:rPr>
          <w:rFonts w:ascii="宋体" w:hAnsi="宋体" w:eastAsia="宋体" w:cs="Times New Roman"/>
          <w:b/>
          <w:bCs/>
          <w:color w:val="auto"/>
          <w:szCs w:val="21"/>
        </w:rPr>
        <w:t>★</w:t>
      </w:r>
      <w:r>
        <w:rPr>
          <w:rFonts w:ascii="Times New Roman" w:hAnsi="Times New Roman" w:eastAsia="宋体" w:cs="Times New Roman"/>
          <w:color w:val="auto"/>
          <w:szCs w:val="24"/>
        </w:rPr>
        <w:t>2.1 洁净度等级达到 ISO Class3或以上；（</w:t>
      </w:r>
      <w:bookmarkStart w:id="15" w:name="OLE_LINK1"/>
      <w:r>
        <w:rPr>
          <w:rFonts w:ascii="Times New Roman" w:hAnsi="Times New Roman" w:eastAsia="宋体" w:cs="Times New Roman"/>
          <w:color w:val="auto"/>
          <w:szCs w:val="24"/>
        </w:rPr>
        <w:t>投标时</w:t>
      </w:r>
      <w:bookmarkEnd w:id="15"/>
      <w:r>
        <w:rPr>
          <w:rFonts w:ascii="Times New Roman" w:hAnsi="Times New Roman" w:eastAsia="宋体" w:cs="Times New Roman"/>
          <w:color w:val="auto"/>
          <w:szCs w:val="24"/>
        </w:rPr>
        <w:t>需提供投标产品制造商公开发布的印刷资料或第三方检测机构出具的检测报告或厂家技术白皮书（datasheet）或产品使用说明书或软件截图或技术方案的详细论述或说明，作为证明材料）</w:t>
      </w:r>
    </w:p>
    <w:p>
      <w:pPr>
        <w:spacing w:line="360" w:lineRule="auto"/>
        <w:rPr>
          <w:rFonts w:ascii="Times New Roman" w:hAnsi="Times New Roman" w:eastAsia="宋体" w:cs="Times New Roman"/>
          <w:color w:val="auto"/>
          <w:szCs w:val="24"/>
          <w:highlight w:val="none"/>
        </w:rPr>
      </w:pPr>
      <w:r>
        <w:rPr>
          <w:rFonts w:ascii="宋体" w:hAnsi="宋体" w:eastAsia="宋体" w:cs="Times New Roman"/>
          <w:b/>
          <w:bCs/>
          <w:color w:val="auto"/>
          <w:szCs w:val="21"/>
        </w:rPr>
        <w:t>★</w:t>
      </w:r>
      <w:r>
        <w:rPr>
          <w:rFonts w:ascii="Times New Roman" w:hAnsi="Times New Roman" w:eastAsia="宋体" w:cs="Times New Roman"/>
          <w:color w:val="auto"/>
          <w:szCs w:val="24"/>
        </w:rPr>
        <w:t>2.2 泄漏率≤0.01Vol%/h；（投标时需提供投标产品制造商公开发布的印刷资料或第三方检测机构出具的检测报告或厂家技术白皮书（datasheet）或产品使用说明书或软件截图或技术方案的详细论述或说明，作为证明材料）</w:t>
      </w:r>
      <w:r>
        <w:rPr>
          <w:rFonts w:ascii="Times New Roman" w:hAnsi="Times New Roman" w:eastAsia="宋体" w:cs="Times New Roman"/>
          <w:color w:val="auto"/>
          <w:szCs w:val="24"/>
        </w:rPr>
        <w:br w:type="textWrapping"/>
      </w:r>
      <w:r>
        <w:rPr>
          <w:rFonts w:ascii="宋体" w:hAnsi="宋体" w:eastAsia="宋体" w:cs="Times New Roman"/>
          <w:b/>
          <w:bCs/>
          <w:color w:val="auto"/>
          <w:szCs w:val="21"/>
        </w:rPr>
        <w:t>★</w:t>
      </w:r>
      <w:r>
        <w:rPr>
          <w:rFonts w:ascii="Times New Roman" w:hAnsi="Times New Roman" w:eastAsia="宋体" w:cs="Times New Roman"/>
          <w:color w:val="auto"/>
          <w:szCs w:val="24"/>
        </w:rPr>
        <w:t>2.3 温度控制精度在±0.5℃（含）范围以内；（投标时需提供投标产品制造商公开发布的印刷资料或第三方检测机构出具的检测报告或厂家技术白皮书（datasheet）或产品使用说明书或软件截图或技术方案的详细论述或说明，作为证明材料）</w:t>
      </w:r>
      <w:r>
        <w:rPr>
          <w:rFonts w:ascii="Times New Roman" w:hAnsi="Times New Roman" w:eastAsia="宋体" w:cs="Times New Roman"/>
          <w:color w:val="auto"/>
          <w:szCs w:val="24"/>
        </w:rPr>
        <w:br w:type="textWrapping"/>
      </w:r>
      <w:r>
        <w:rPr>
          <w:rFonts w:ascii="宋体" w:hAnsi="宋体" w:eastAsia="宋体" w:cs="Times New Roman"/>
          <w:b/>
          <w:bCs/>
          <w:color w:val="auto"/>
          <w:szCs w:val="21"/>
        </w:rPr>
        <w:t>★</w:t>
      </w:r>
      <w:r>
        <w:rPr>
          <w:rFonts w:ascii="Times New Roman" w:hAnsi="Times New Roman" w:eastAsia="宋体" w:cs="Times New Roman"/>
          <w:color w:val="auto"/>
          <w:szCs w:val="24"/>
        </w:rPr>
        <w:t>2.4 压力控制精度在±0.5mba（含）r范围以内；（投标时需提供投标产品制造商公开发布的印刷资料或第三方检测机构出具的检测报告或厂家技术白皮书（datasheet）或产品使用说明书或软件截图或技术方案的详细论述或说明，作为证明材料）</w:t>
      </w:r>
      <w:r>
        <w:rPr>
          <w:rFonts w:ascii="Times New Roman" w:hAnsi="Times New Roman" w:eastAsia="宋体" w:cs="Times New Roman"/>
          <w:color w:val="auto"/>
          <w:szCs w:val="24"/>
        </w:rPr>
        <w:br w:type="textWrapping"/>
      </w:r>
      <w:r>
        <w:rPr>
          <w:rFonts w:ascii="Times New Roman" w:hAnsi="Times New Roman" w:eastAsia="宋体" w:cs="Times New Roman"/>
          <w:color w:val="auto"/>
          <w:szCs w:val="24"/>
        </w:rPr>
        <w:t>2.5 工作压力范围：箱内压力通过 PLC 自动控制, 工作压力0—8mbar 内（含）可自由设定，超出设定值系统自动保护；</w:t>
      </w:r>
      <w:r>
        <w:rPr>
          <w:rFonts w:ascii="Times New Roman" w:hAnsi="Times New Roman" w:eastAsia="宋体" w:cs="Times New Roman"/>
          <w:color w:val="auto"/>
          <w:szCs w:val="24"/>
        </w:rPr>
        <w:br w:type="textWrapping"/>
      </w:r>
      <w:r>
        <w:rPr>
          <w:rFonts w:ascii="宋体" w:hAnsi="宋体" w:eastAsia="宋体" w:cs="Times New Roman"/>
          <w:b/>
          <w:bCs/>
          <w:color w:val="auto"/>
          <w:szCs w:val="21"/>
        </w:rPr>
        <w:t>★</w:t>
      </w:r>
      <w:r>
        <w:rPr>
          <w:rFonts w:ascii="Times New Roman" w:hAnsi="Times New Roman" w:eastAsia="宋体" w:cs="Times New Roman"/>
          <w:color w:val="auto"/>
          <w:szCs w:val="24"/>
        </w:rPr>
        <w:t>2.6 水含量浓度≤1ppm、氧含量浓度≤1ppm、臭氧含量溶度≤2ppb、有机物溶剂含量≤5ppm；（投标时需提供投标产品制造商公开发布的印刷资料或第三方检测机构出具的检测报告或厂家技术白皮书（datasheet）或产品使用说明书或软件截图或技术方案的详细论述或说明，作为证明材料）</w:t>
      </w:r>
      <w:r>
        <w:rPr>
          <w:rFonts w:ascii="Times New Roman" w:hAnsi="Times New Roman" w:eastAsia="宋体" w:cs="Times New Roman"/>
          <w:color w:val="auto"/>
          <w:szCs w:val="24"/>
        </w:rPr>
        <w:br w:type="textWrapping"/>
      </w:r>
      <w:r>
        <w:rPr>
          <w:rFonts w:ascii="宋体" w:hAnsi="宋体" w:eastAsia="宋体" w:cs="Times New Roman"/>
          <w:b/>
          <w:bCs/>
          <w:color w:val="auto"/>
          <w:szCs w:val="21"/>
        </w:rPr>
        <w:t>★</w:t>
      </w:r>
      <w:r>
        <w:rPr>
          <w:rFonts w:ascii="Times New Roman" w:hAnsi="Times New Roman" w:eastAsia="宋体" w:cs="Times New Roman"/>
          <w:color w:val="auto"/>
          <w:szCs w:val="24"/>
        </w:rPr>
        <w:t>2.7 平均故障间隔时间≥550 h，最大修复时间≤7 h；（投标时需提供投标产品制造商公开发布的印刷资料或第三方检测机构出具的检测报告或厂家技术白皮书（datasheet）或产品使用说明书或软件截图或技术方案的详细论述或说明，作为证明材料）</w:t>
      </w:r>
      <w:r>
        <w:rPr>
          <w:rFonts w:ascii="Times New Roman" w:hAnsi="Times New Roman" w:eastAsia="宋体" w:cs="Times New Roman"/>
          <w:color w:val="auto"/>
          <w:szCs w:val="24"/>
        </w:rPr>
        <w:br w:type="textWrapping"/>
      </w:r>
      <w:r>
        <w:rPr>
          <w:rFonts w:ascii="宋体" w:hAnsi="宋体" w:eastAsia="宋体" w:cs="Times New Roman"/>
          <w:b/>
          <w:bCs/>
          <w:color w:val="auto"/>
          <w:szCs w:val="21"/>
        </w:rPr>
        <w:t>★</w:t>
      </w:r>
      <w:r>
        <w:rPr>
          <w:rFonts w:ascii="Times New Roman" w:hAnsi="Times New Roman" w:eastAsia="宋体" w:cs="Times New Roman"/>
          <w:color w:val="auto"/>
          <w:szCs w:val="24"/>
        </w:rPr>
        <w:t>2.8 气氛切换：箱体内可切换N</w:t>
      </w:r>
      <w:r>
        <w:rPr>
          <w:rFonts w:ascii="Times New Roman" w:hAnsi="Times New Roman" w:eastAsia="宋体" w:cs="Times New Roman"/>
          <w:color w:val="auto"/>
          <w:szCs w:val="24"/>
          <w:vertAlign w:val="subscript"/>
        </w:rPr>
        <w:t>2</w:t>
      </w:r>
      <w:r>
        <w:rPr>
          <w:rFonts w:ascii="Times New Roman" w:hAnsi="Times New Roman" w:eastAsia="宋体" w:cs="Times New Roman"/>
          <w:color w:val="auto"/>
          <w:szCs w:val="24"/>
        </w:rPr>
        <w:t>/ CDA两种气体氛围；（投标时需提供投标产品制造商公开发布的印刷资料或第三方检测机构出具的检测报告或厂家技术白皮书（datasheet）或产品使用说明书或软</w:t>
      </w:r>
      <w:r>
        <w:rPr>
          <w:rFonts w:ascii="Times New Roman" w:hAnsi="Times New Roman" w:eastAsia="宋体" w:cs="Times New Roman"/>
          <w:color w:val="auto"/>
          <w:szCs w:val="24"/>
          <w:highlight w:val="none"/>
        </w:rPr>
        <w:t>件截图或技术方案的详细论述或说明，作为证明材料）</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highlight w:val="none"/>
        </w:rPr>
        <w:t>▲2.9 除水氧能力：开启纯化器系统循环功能4h内（含）箱体水氧含量可从大气状态降至10ppm（含）以下、8h（含）内箱体水氧含量可降至1ppm（含）以下；（投标</w:t>
      </w:r>
      <w:r>
        <w:rPr>
          <w:rFonts w:ascii="Times New Roman" w:hAnsi="Times New Roman" w:eastAsia="宋体" w:cs="Times New Roman"/>
          <w:color w:val="auto"/>
          <w:szCs w:val="24"/>
        </w:rPr>
        <w:t>时需提供投标产品制造商公开发布的印刷资料或第三方检测机构出具的检测报告或厂家技术白皮书（datasheet）或产品使用说明书或软件截图或技术方案的详细论述或说明，作为证明材料）</w:t>
      </w:r>
    </w:p>
    <w:p>
      <w:pPr>
        <w:spacing w:line="360" w:lineRule="auto"/>
        <w:rPr>
          <w:rFonts w:ascii="Times New Roman" w:hAnsi="Times New Roman" w:eastAsia="宋体" w:cs="Times New Roman"/>
          <w:color w:val="auto"/>
          <w:szCs w:val="24"/>
        </w:rPr>
      </w:pPr>
      <w:r>
        <w:rPr>
          <w:rFonts w:ascii="宋体" w:hAnsi="宋体" w:eastAsia="宋体" w:cs="Times New Roman"/>
          <w:b/>
          <w:bCs/>
          <w:color w:val="auto"/>
          <w:szCs w:val="21"/>
        </w:rPr>
        <w:t>★</w:t>
      </w:r>
      <w:r>
        <w:rPr>
          <w:rFonts w:ascii="Times New Roman" w:hAnsi="Times New Roman" w:eastAsia="宋体" w:cs="Times New Roman"/>
          <w:color w:val="auto"/>
          <w:szCs w:val="24"/>
        </w:rPr>
        <w:t>2.10 气流覆盖率≥85%。（投标时需提供投标产品制造商公开发布的印刷资料或第三方检测机构出具的检测报告或厂家技术白皮书（datasheet）或产品使用说明书或软件截图或技术方案的详细论述或说明，作为证明材料）</w:t>
      </w:r>
    </w:p>
    <w:p>
      <w:pPr>
        <w:spacing w:line="360" w:lineRule="auto"/>
        <w:rPr>
          <w:rFonts w:ascii="Times New Roman" w:hAnsi="Times New Roman" w:eastAsia="宋体" w:cs="Times New Roman"/>
          <w:b/>
          <w:bCs/>
          <w:color w:val="auto"/>
          <w:szCs w:val="24"/>
        </w:rPr>
      </w:pPr>
      <w:r>
        <w:rPr>
          <w:rFonts w:ascii="Times New Roman" w:hAnsi="Times New Roman" w:eastAsia="宋体" w:cs="Times New Roman"/>
          <w:b/>
          <w:bCs/>
          <w:color w:val="auto"/>
          <w:szCs w:val="24"/>
        </w:rPr>
        <w:t>3 OLED基板传输环境维持系统精度要求</w:t>
      </w:r>
    </w:p>
    <w:p>
      <w:pPr>
        <w:spacing w:line="360" w:lineRule="auto"/>
        <w:rPr>
          <w:rFonts w:ascii="Times New Roman" w:hAnsi="Times New Roman" w:eastAsia="宋体" w:cs="Times New Roman"/>
          <w:color w:val="auto"/>
          <w:szCs w:val="24"/>
        </w:rPr>
      </w:pPr>
      <w:r>
        <w:rPr>
          <w:rFonts w:ascii="宋体" w:hAnsi="宋体" w:eastAsia="宋体" w:cs="Times New Roman"/>
          <w:b/>
          <w:bCs/>
          <w:color w:val="auto"/>
          <w:szCs w:val="21"/>
        </w:rPr>
        <w:t>★3</w:t>
      </w:r>
      <w:r>
        <w:rPr>
          <w:rFonts w:ascii="Times New Roman" w:hAnsi="Times New Roman" w:eastAsia="宋体" w:cs="Times New Roman"/>
          <w:color w:val="auto"/>
          <w:szCs w:val="24"/>
        </w:rPr>
        <w:t>.1 洁净度等级达到 ISO Class3或以上；（投标时需提供投标产品制造商公开发布的印刷资料或第三方检测机构出具的检测报告或厂家技术白皮书（datasheet）或产品使用说明书或软件截图或技术方案的详细论述或说明，作为证明材料）</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w:t>
      </w:r>
      <w:r>
        <w:rPr>
          <w:rFonts w:ascii="宋体" w:hAnsi="宋体" w:eastAsia="宋体" w:cs="Times New Roman"/>
          <w:b/>
          <w:bCs/>
          <w:color w:val="auto"/>
          <w:szCs w:val="21"/>
        </w:rPr>
        <w:t>3</w:t>
      </w:r>
      <w:r>
        <w:rPr>
          <w:rFonts w:ascii="Times New Roman" w:hAnsi="Times New Roman" w:eastAsia="宋体" w:cs="Times New Roman"/>
          <w:color w:val="auto"/>
          <w:szCs w:val="24"/>
        </w:rPr>
        <w:t>.2 泄漏率≤0.01Vol%/h；（投标时需提供投标产品制造商公开发布的印刷资料或第三方检测机构出具的检测报告或厂家技术白皮书（datasheet）或产品使用说明书或软件截图或技术方案的详细论述或说明，作为证明材料）</w:t>
      </w:r>
      <w:r>
        <w:rPr>
          <w:rFonts w:ascii="Times New Roman" w:hAnsi="Times New Roman" w:eastAsia="宋体" w:cs="Times New Roman"/>
          <w:color w:val="auto"/>
          <w:szCs w:val="24"/>
        </w:rPr>
        <w:br w:type="textWrapping"/>
      </w:r>
      <w:r>
        <w:rPr>
          <w:rFonts w:ascii="宋体" w:hAnsi="宋体" w:eastAsia="宋体" w:cs="Times New Roman"/>
          <w:b/>
          <w:bCs/>
          <w:color w:val="auto"/>
          <w:szCs w:val="21"/>
        </w:rPr>
        <w:t>3</w:t>
      </w:r>
      <w:r>
        <w:rPr>
          <w:rFonts w:ascii="Times New Roman" w:hAnsi="Times New Roman" w:eastAsia="宋体" w:cs="Times New Roman"/>
          <w:color w:val="auto"/>
          <w:szCs w:val="24"/>
        </w:rPr>
        <w:t>.3 温度控制精度在±2℃（含）范围以内；</w:t>
      </w:r>
      <w:r>
        <w:rPr>
          <w:rFonts w:ascii="Times New Roman" w:hAnsi="Times New Roman" w:eastAsia="宋体" w:cs="Times New Roman"/>
          <w:color w:val="auto"/>
          <w:szCs w:val="24"/>
        </w:rPr>
        <w:br w:type="textWrapping"/>
      </w:r>
      <w:r>
        <w:rPr>
          <w:rFonts w:ascii="Times New Roman" w:hAnsi="Times New Roman" w:eastAsia="宋体" w:cs="Times New Roman"/>
          <w:color w:val="auto"/>
          <w:szCs w:val="24"/>
        </w:rPr>
        <w:t>3.4 压力控制精度在±1mbar（含）范围以内；</w:t>
      </w:r>
      <w:r>
        <w:rPr>
          <w:rFonts w:ascii="Times New Roman" w:hAnsi="Times New Roman" w:eastAsia="宋体" w:cs="Times New Roman"/>
          <w:color w:val="auto"/>
          <w:szCs w:val="24"/>
        </w:rPr>
        <w:br w:type="textWrapping"/>
      </w:r>
      <w:r>
        <w:rPr>
          <w:rFonts w:ascii="Times New Roman" w:hAnsi="Times New Roman" w:eastAsia="宋体" w:cs="Times New Roman"/>
          <w:color w:val="auto"/>
          <w:szCs w:val="24"/>
        </w:rPr>
        <w:t>3.5 工作压力范围：箱内压力通过 PLC 自动控制, 工作压力0—8mbar （含）内可自由设定，超出设定值系统自动保护；</w:t>
      </w:r>
      <w:r>
        <w:rPr>
          <w:rFonts w:ascii="Times New Roman" w:hAnsi="Times New Roman" w:eastAsia="宋体" w:cs="Times New Roman"/>
          <w:color w:val="auto"/>
          <w:szCs w:val="24"/>
        </w:rPr>
        <w:br w:type="textWrapping"/>
      </w:r>
      <w:r>
        <w:rPr>
          <w:rFonts w:ascii="宋体" w:hAnsi="宋体" w:eastAsia="宋体" w:cs="Times New Roman"/>
          <w:b/>
          <w:bCs/>
          <w:color w:val="auto"/>
          <w:szCs w:val="21"/>
        </w:rPr>
        <w:t>★3</w:t>
      </w:r>
      <w:r>
        <w:rPr>
          <w:rFonts w:ascii="Times New Roman" w:hAnsi="Times New Roman" w:eastAsia="宋体" w:cs="Times New Roman"/>
          <w:color w:val="auto"/>
          <w:szCs w:val="24"/>
        </w:rPr>
        <w:t>.6 水含量浓度≤1ppm、氧含量浓度≤1ppm、有机物溶剂含量≤5ppm；（投标时需提供投标产品制造商公开发布的印刷资料或第三方检测机构出具的检测报告或厂家技术白皮书（datasheet）或产品使用说明书或软件截图或技术方案的详细论述或说明，作为证明材料）</w:t>
      </w:r>
      <w:r>
        <w:rPr>
          <w:rFonts w:ascii="Times New Roman" w:hAnsi="Times New Roman" w:eastAsia="宋体" w:cs="Times New Roman"/>
          <w:color w:val="auto"/>
          <w:szCs w:val="24"/>
        </w:rPr>
        <w:br w:type="textWrapping"/>
      </w:r>
      <w:r>
        <w:rPr>
          <w:rFonts w:ascii="Times New Roman" w:hAnsi="Times New Roman" w:eastAsia="宋体" w:cs="Times New Roman"/>
          <w:color w:val="auto"/>
          <w:szCs w:val="24"/>
        </w:rPr>
        <w:t>▲</w:t>
      </w:r>
      <w:r>
        <w:rPr>
          <w:rFonts w:ascii="宋体" w:hAnsi="宋体" w:eastAsia="宋体" w:cs="Times New Roman"/>
          <w:b/>
          <w:bCs/>
          <w:color w:val="auto"/>
          <w:szCs w:val="21"/>
        </w:rPr>
        <w:t>3</w:t>
      </w:r>
      <w:r>
        <w:rPr>
          <w:rFonts w:ascii="Times New Roman" w:hAnsi="Times New Roman" w:eastAsia="宋体" w:cs="Times New Roman"/>
          <w:color w:val="auto"/>
          <w:szCs w:val="24"/>
        </w:rPr>
        <w:t>.7 平均故障间隔时间≥550 h，最大修复时间≤7 h；（投标时需提供投标产品制造商公开发布的印刷资料或第三方检测机构出具的检测报告或厂家技术白皮书（datasheet）或产品使用说明书或软件截图或技术方案的详细论述或说明，作为证明材料）</w:t>
      </w:r>
      <w:r>
        <w:rPr>
          <w:rFonts w:ascii="Times New Roman" w:hAnsi="Times New Roman" w:eastAsia="宋体" w:cs="Times New Roman"/>
          <w:color w:val="auto"/>
          <w:szCs w:val="24"/>
        </w:rPr>
        <w:br w:type="textWrapping"/>
      </w:r>
      <w:r>
        <w:rPr>
          <w:rFonts w:ascii="宋体" w:hAnsi="宋体" w:eastAsia="宋体" w:cs="Times New Roman"/>
          <w:b/>
          <w:bCs/>
          <w:color w:val="auto"/>
          <w:szCs w:val="21"/>
        </w:rPr>
        <w:t>3</w:t>
      </w:r>
      <w:r>
        <w:rPr>
          <w:rFonts w:ascii="Times New Roman" w:hAnsi="Times New Roman" w:eastAsia="宋体" w:cs="Times New Roman"/>
          <w:color w:val="auto"/>
          <w:szCs w:val="24"/>
        </w:rPr>
        <w:t>.8 气氛切换：箱体内可切换N</w:t>
      </w:r>
      <w:r>
        <w:rPr>
          <w:rFonts w:ascii="Times New Roman" w:hAnsi="Times New Roman" w:eastAsia="宋体" w:cs="Times New Roman"/>
          <w:color w:val="auto"/>
          <w:szCs w:val="24"/>
          <w:vertAlign w:val="subscript"/>
        </w:rPr>
        <w:t>2</w:t>
      </w:r>
      <w:r>
        <w:rPr>
          <w:rFonts w:ascii="Times New Roman" w:hAnsi="Times New Roman" w:eastAsia="宋体" w:cs="Times New Roman"/>
          <w:color w:val="auto"/>
          <w:szCs w:val="24"/>
        </w:rPr>
        <w:t>/ CDA两种气体氛围；</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▲3.9 除水氧能力</w:t>
      </w:r>
      <w:r>
        <w:rPr>
          <w:rFonts w:ascii="Times New Roman" w:hAnsi="Times New Roman" w:eastAsia="宋体" w:cs="Times New Roman"/>
          <w:color w:val="auto"/>
          <w:szCs w:val="24"/>
          <w:highlight w:val="none"/>
        </w:rPr>
        <w:t>：开启纯化器系统循环功能5h（含）内箱体水氧含量可从大气状态降至10ppm（含）以下、9h（含）内箱体水氧含量可降至1ppm（含）以下；（投标时</w:t>
      </w:r>
      <w:r>
        <w:rPr>
          <w:rFonts w:ascii="Times New Roman" w:hAnsi="Times New Roman" w:eastAsia="宋体" w:cs="Times New Roman"/>
          <w:color w:val="auto"/>
          <w:szCs w:val="24"/>
        </w:rPr>
        <w:t>需提供投标产品制造商公开发布的印刷资料或第三方检测机构出具的检测报告或厂家技术白皮书（datasheet）或产品使用说明书或软件截图或技术方案的详细论述或说明，作为证明材料）</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▲3.10 气流覆盖率≥85%。（投标时需提供投标产品制造商公开发布的印刷资料或第三方检测机构出具的检测报告或厂家技术白皮书（datasheet）或产品使用说明书或软件截图或技术方案的详细论述或说明，作为证明材料）</w:t>
      </w:r>
    </w:p>
    <w:p>
      <w:pPr>
        <w:spacing w:line="360" w:lineRule="auto"/>
        <w:rPr>
          <w:rFonts w:ascii="Times New Roman" w:hAnsi="Times New Roman" w:eastAsia="宋体" w:cs="Times New Roman"/>
          <w:b/>
          <w:bCs/>
          <w:color w:val="auto"/>
          <w:szCs w:val="24"/>
        </w:rPr>
      </w:pPr>
      <w:r>
        <w:rPr>
          <w:rFonts w:ascii="Times New Roman" w:hAnsi="Times New Roman" w:eastAsia="宋体" w:cs="Times New Roman"/>
          <w:b/>
          <w:bCs/>
          <w:color w:val="auto"/>
          <w:szCs w:val="24"/>
        </w:rPr>
        <w:t>4 OLED加墨手套箱系统精度要求</w:t>
      </w:r>
    </w:p>
    <w:p>
      <w:pPr>
        <w:spacing w:line="360" w:lineRule="auto"/>
        <w:rPr>
          <w:rFonts w:ascii="Times New Roman" w:hAnsi="Times New Roman" w:eastAsia="宋体" w:cs="Times New Roman"/>
          <w:color w:val="auto"/>
          <w:szCs w:val="24"/>
        </w:rPr>
      </w:pPr>
      <w:r>
        <w:rPr>
          <w:rFonts w:ascii="宋体" w:hAnsi="宋体" w:eastAsia="宋体" w:cs="Times New Roman"/>
          <w:b/>
          <w:bCs/>
          <w:color w:val="auto"/>
          <w:szCs w:val="21"/>
        </w:rPr>
        <w:t>★4</w:t>
      </w:r>
      <w:r>
        <w:rPr>
          <w:rFonts w:ascii="Times New Roman" w:hAnsi="Times New Roman" w:eastAsia="宋体" w:cs="Times New Roman"/>
          <w:color w:val="auto"/>
          <w:szCs w:val="24"/>
        </w:rPr>
        <w:t>.1 洁净度等级达到 ISO Class3或以上；（投标时需提供投标产品制造商公开发布的印刷资料或第三方检测机构出具的检测报告或厂家技术白皮书（datasheet）或产品使用说明书或软件截图或技术方案的详细论述或说明，作为证明材料）</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w:t>
      </w:r>
      <w:r>
        <w:rPr>
          <w:rFonts w:ascii="宋体" w:hAnsi="宋体" w:eastAsia="宋体" w:cs="Times New Roman"/>
          <w:b/>
          <w:bCs/>
          <w:color w:val="auto"/>
          <w:szCs w:val="21"/>
        </w:rPr>
        <w:t>4</w:t>
      </w:r>
      <w:r>
        <w:rPr>
          <w:rFonts w:ascii="Times New Roman" w:hAnsi="Times New Roman" w:eastAsia="宋体" w:cs="Times New Roman"/>
          <w:color w:val="auto"/>
          <w:szCs w:val="24"/>
        </w:rPr>
        <w:t>.2 泄漏率≤0.01Vol%/h；（投标时需提供投标产品制造商公开发布的印刷资料或第三方检测机构出具的检测报告或厂家技术白皮书（datasheet）或产品使用说明书或软件截图或技术方案的详细论述或说明，作为证明材料）</w:t>
      </w:r>
      <w:r>
        <w:rPr>
          <w:rFonts w:ascii="Times New Roman" w:hAnsi="Times New Roman" w:eastAsia="宋体" w:cs="Times New Roman"/>
          <w:color w:val="auto"/>
          <w:szCs w:val="24"/>
        </w:rPr>
        <w:br w:type="textWrapping"/>
      </w:r>
      <w:r>
        <w:rPr>
          <w:rFonts w:ascii="宋体" w:hAnsi="宋体" w:eastAsia="宋体" w:cs="Times New Roman"/>
          <w:b/>
          <w:bCs/>
          <w:color w:val="auto"/>
          <w:szCs w:val="21"/>
        </w:rPr>
        <w:t>4</w:t>
      </w:r>
      <w:r>
        <w:rPr>
          <w:rFonts w:ascii="Times New Roman" w:hAnsi="Times New Roman" w:eastAsia="宋体" w:cs="Times New Roman"/>
          <w:color w:val="auto"/>
          <w:szCs w:val="24"/>
        </w:rPr>
        <w:t>.3 温度控制精度在±1℃（含）范围以内；</w:t>
      </w:r>
      <w:r>
        <w:rPr>
          <w:rFonts w:ascii="Times New Roman" w:hAnsi="Times New Roman" w:eastAsia="宋体" w:cs="Times New Roman"/>
          <w:color w:val="auto"/>
          <w:szCs w:val="24"/>
        </w:rPr>
        <w:br w:type="textWrapping"/>
      </w:r>
      <w:r>
        <w:rPr>
          <w:rFonts w:ascii="Times New Roman" w:hAnsi="Times New Roman" w:eastAsia="宋体" w:cs="Times New Roman"/>
          <w:color w:val="auto"/>
          <w:szCs w:val="24"/>
        </w:rPr>
        <w:t>4.4 压力控制精度在±1mbar（含）范围以内；</w:t>
      </w:r>
      <w:r>
        <w:rPr>
          <w:rFonts w:ascii="Times New Roman" w:hAnsi="Times New Roman" w:eastAsia="宋体" w:cs="Times New Roman"/>
          <w:color w:val="auto"/>
          <w:szCs w:val="24"/>
        </w:rPr>
        <w:br w:type="textWrapping"/>
      </w:r>
      <w:r>
        <w:rPr>
          <w:rFonts w:ascii="Times New Roman" w:hAnsi="Times New Roman" w:eastAsia="宋体" w:cs="Times New Roman"/>
          <w:color w:val="auto"/>
          <w:szCs w:val="24"/>
        </w:rPr>
        <w:t>4.5 工作压力范围：箱内压力通过 PLC 自动控制, 工作压力0—8mbar 内（含）可自由设定，超出设定值系统自动保护；</w:t>
      </w:r>
      <w:r>
        <w:rPr>
          <w:rFonts w:ascii="Times New Roman" w:hAnsi="Times New Roman" w:eastAsia="宋体" w:cs="Times New Roman"/>
          <w:color w:val="auto"/>
          <w:szCs w:val="24"/>
        </w:rPr>
        <w:br w:type="textWrapping"/>
      </w:r>
      <w:r>
        <w:rPr>
          <w:rFonts w:ascii="宋体" w:hAnsi="宋体" w:eastAsia="宋体" w:cs="Times New Roman"/>
          <w:b/>
          <w:bCs/>
          <w:color w:val="auto"/>
          <w:szCs w:val="21"/>
        </w:rPr>
        <w:t>★4</w:t>
      </w:r>
      <w:r>
        <w:rPr>
          <w:rFonts w:ascii="Times New Roman" w:hAnsi="Times New Roman" w:eastAsia="宋体" w:cs="Times New Roman"/>
          <w:color w:val="auto"/>
          <w:szCs w:val="24"/>
        </w:rPr>
        <w:t>.6 水含量浓度≤1ppm、氧含量浓度≤1ppm；（投标时需提供投标产品制造商公开发布的印刷资料或第三方检测机构出具的检测报告或厂家技术白皮书（datasheet）或产品使用说明书或软件截图或技术方案的详细论述或说明，作为证明材料）</w:t>
      </w:r>
      <w:r>
        <w:rPr>
          <w:rFonts w:ascii="Times New Roman" w:hAnsi="Times New Roman" w:eastAsia="宋体" w:cs="Times New Roman"/>
          <w:color w:val="auto"/>
          <w:szCs w:val="24"/>
        </w:rPr>
        <w:br w:type="textWrapping"/>
      </w:r>
      <w:r>
        <w:rPr>
          <w:rFonts w:ascii="Times New Roman" w:hAnsi="Times New Roman" w:eastAsia="宋体" w:cs="Times New Roman"/>
          <w:color w:val="auto"/>
          <w:szCs w:val="24"/>
        </w:rPr>
        <w:t>▲</w:t>
      </w:r>
      <w:r>
        <w:rPr>
          <w:rFonts w:ascii="宋体" w:hAnsi="宋体" w:eastAsia="宋体" w:cs="Times New Roman"/>
          <w:b/>
          <w:bCs/>
          <w:color w:val="auto"/>
          <w:szCs w:val="21"/>
        </w:rPr>
        <w:t>4</w:t>
      </w:r>
      <w:r>
        <w:rPr>
          <w:rFonts w:ascii="Times New Roman" w:hAnsi="Times New Roman" w:eastAsia="宋体" w:cs="Times New Roman"/>
          <w:color w:val="auto"/>
          <w:szCs w:val="24"/>
        </w:rPr>
        <w:t>.7 平均故障间隔时间≥550 h，最大修复时间≤7 h；（投标时需提供投标产品制造商公开发布的印刷资料或第三方检测机构出具的检测报告或厂家技术白皮书（datasheet）或产品使用说明书或软件截图或技术方案的详细论述或说明，作为证明材料）</w:t>
      </w:r>
      <w:r>
        <w:rPr>
          <w:rFonts w:ascii="Times New Roman" w:hAnsi="Times New Roman" w:eastAsia="宋体" w:cs="Times New Roman"/>
          <w:color w:val="auto"/>
          <w:szCs w:val="24"/>
        </w:rPr>
        <w:br w:type="textWrapping"/>
      </w:r>
      <w:r>
        <w:rPr>
          <w:rFonts w:ascii="宋体" w:hAnsi="宋体" w:eastAsia="宋体" w:cs="Times New Roman"/>
          <w:b/>
          <w:bCs/>
          <w:color w:val="auto"/>
          <w:szCs w:val="21"/>
        </w:rPr>
        <w:t>4</w:t>
      </w:r>
      <w:r>
        <w:rPr>
          <w:rFonts w:ascii="Times New Roman" w:hAnsi="Times New Roman" w:eastAsia="宋体" w:cs="Times New Roman"/>
          <w:color w:val="auto"/>
          <w:szCs w:val="24"/>
        </w:rPr>
        <w:t>.8 气氛切换：箱体内可切换N</w:t>
      </w:r>
      <w:r>
        <w:rPr>
          <w:rFonts w:ascii="Times New Roman" w:hAnsi="Times New Roman" w:eastAsia="宋体" w:cs="Times New Roman"/>
          <w:color w:val="auto"/>
          <w:szCs w:val="24"/>
          <w:vertAlign w:val="subscript"/>
        </w:rPr>
        <w:t>2</w:t>
      </w:r>
      <w:r>
        <w:rPr>
          <w:rFonts w:ascii="Times New Roman" w:hAnsi="Times New Roman" w:eastAsia="宋体" w:cs="Times New Roman"/>
          <w:color w:val="auto"/>
          <w:szCs w:val="24"/>
        </w:rPr>
        <w:t>/ CDA两种气体氛围；</w:t>
      </w:r>
    </w:p>
    <w:p>
      <w:pPr>
        <w:spacing w:line="360" w:lineRule="auto"/>
        <w:rPr>
          <w:rFonts w:ascii="Times New Roman" w:hAnsi="Times New Roman" w:eastAsia="宋体" w:cs="Times New Roman"/>
          <w:b/>
          <w:bCs/>
          <w:color w:val="auto"/>
          <w:szCs w:val="24"/>
        </w:rPr>
      </w:pPr>
      <w:r>
        <w:rPr>
          <w:rFonts w:ascii="Times New Roman" w:hAnsi="Times New Roman" w:eastAsia="宋体" w:cs="Times New Roman"/>
          <w:color w:val="auto"/>
          <w:szCs w:val="24"/>
        </w:rPr>
        <w:t>▲4.9 气流覆盖率≥85%。（投标时需提供投标产品制造商公开发布的印刷资料或第三方检测机构出具的检测报告或厂家技术白皮书（datasheet）或产品使用说明书或软件截图或技术方案的详细论述或说明，作为证明材料）</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5.1文件管理:支持下载（数据日志、报警日志、操作日志、状态日志）至存储U盘或支持上传（数据日志、报警日志、操作日志、状态日志）；</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5.2设备状态监控：设备状态实时上报给主设备PLC；</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5.3模拟量上报：AD模拟量上报给主设备PLC；</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5.4电能消耗：电能消耗上报给主设备PLC；</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5.5数据监控功能：实时数据监控，数据异常报警；</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5.6远程操作：主设备远程操作纯化器主要功能。</w:t>
      </w:r>
    </w:p>
    <w:p>
      <w:pPr>
        <w:spacing w:line="360" w:lineRule="auto"/>
        <w:rPr>
          <w:rFonts w:ascii="Times New Roman" w:hAnsi="Times New Roman" w:eastAsia="宋体" w:cs="Times New Roman"/>
          <w:b/>
          <w:bCs/>
          <w:color w:val="auto"/>
          <w:szCs w:val="24"/>
        </w:rPr>
      </w:pPr>
      <w:r>
        <w:rPr>
          <w:rFonts w:ascii="Times New Roman" w:hAnsi="Times New Roman" w:eastAsia="宋体" w:cs="Times New Roman"/>
          <w:b/>
          <w:bCs/>
          <w:color w:val="auto"/>
          <w:szCs w:val="24"/>
        </w:rPr>
        <w:t>6 软件及交付物要求</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6.1 所有环境维持系统、纯化器系统、温度/压力控制系统等子系统的自动控制须采用PLC加触摸显示屏的电气控制系统架构，可通过触摸显示屏对关键数据进行设置/读取；</w:t>
      </w:r>
      <w:r>
        <w:rPr>
          <w:rFonts w:ascii="Times New Roman" w:hAnsi="Times New Roman" w:eastAsia="宋体" w:cs="Times New Roman"/>
          <w:color w:val="auto"/>
          <w:szCs w:val="24"/>
        </w:rPr>
        <w:br w:type="textWrapping"/>
      </w:r>
      <w:r>
        <w:rPr>
          <w:rFonts w:ascii="Times New Roman" w:hAnsi="Times New Roman" w:eastAsia="宋体" w:cs="Times New Roman"/>
          <w:color w:val="auto"/>
          <w:szCs w:val="24"/>
        </w:rPr>
        <w:t>6.2 软件权限：需向客户开发软件最高操作权限；</w:t>
      </w:r>
      <w:r>
        <w:rPr>
          <w:rFonts w:ascii="Times New Roman" w:hAnsi="Times New Roman" w:eastAsia="宋体" w:cs="Times New Roman"/>
          <w:color w:val="auto"/>
          <w:szCs w:val="24"/>
        </w:rPr>
        <w:br w:type="textWrapping"/>
      </w:r>
      <w:r>
        <w:rPr>
          <w:rFonts w:ascii="Times New Roman" w:hAnsi="Times New Roman" w:eastAsia="宋体" w:cs="Times New Roman"/>
          <w:color w:val="auto"/>
          <w:szCs w:val="24"/>
        </w:rPr>
        <w:t>6.3 CAD数据；需提交本体装配及干涉相关的CAD数据；</w:t>
      </w:r>
    </w:p>
    <w:p>
      <w:pPr>
        <w:spacing w:line="360" w:lineRule="auto"/>
        <w:rPr>
          <w:rFonts w:ascii="Times New Roman" w:hAnsi="Times New Roman" w:eastAsia="宋体" w:cs="Times New Roman"/>
          <w:color w:val="auto"/>
          <w:szCs w:val="24"/>
        </w:rPr>
      </w:pPr>
      <w:r>
        <w:rPr>
          <w:rFonts w:ascii="Times New Roman" w:hAnsi="Times New Roman" w:eastAsia="宋体" w:cs="Times New Roman"/>
          <w:color w:val="auto"/>
          <w:szCs w:val="24"/>
        </w:rPr>
        <w:t>6.4传感器型号：安装前需指定或与客户协商确定。</w:t>
      </w:r>
    </w:p>
    <w:p>
      <w:pPr>
        <w:spacing w:line="360" w:lineRule="auto"/>
        <w:rPr>
          <w:rFonts w:ascii="Times New Roman" w:hAnsi="Times New Roman" w:eastAsia="宋体" w:cs="Times New Roman"/>
          <w:b/>
          <w:bCs/>
          <w:color w:val="auto"/>
          <w:szCs w:val="24"/>
        </w:rPr>
      </w:pPr>
      <w:r>
        <w:rPr>
          <w:rFonts w:ascii="Times New Roman" w:hAnsi="Times New Roman" w:eastAsia="宋体" w:cs="Times New Roman"/>
          <w:b/>
          <w:bCs/>
          <w:color w:val="auto"/>
          <w:szCs w:val="24"/>
        </w:rPr>
        <w:t>7 其他要求</w:t>
      </w:r>
    </w:p>
    <w:p>
      <w:pPr>
        <w:spacing w:line="360" w:lineRule="auto"/>
        <w:rPr>
          <w:rFonts w:hint="eastAsia" w:ascii="Times New Roman" w:hAnsi="Times New Roman" w:eastAsia="宋体" w:cs="Times New Roman"/>
          <w:color w:val="auto"/>
          <w:szCs w:val="24"/>
        </w:rPr>
      </w:pPr>
      <w:r>
        <w:rPr>
          <w:rFonts w:hint="eastAsia" w:ascii="Times New Roman" w:hAnsi="Times New Roman" w:eastAsia="宋体" w:cs="Times New Roman"/>
          <w:color w:val="auto"/>
          <w:szCs w:val="24"/>
        </w:rPr>
        <w:t>7.1 总体安全防护要求：须保障维护人员进入箱体内部作业全过程的人身安全，构建完整可靠的软硬件互锁联动防护体系。系统需针对氮气惰性环境存在的缺氧窒息风险，对箱室检修门、氮气供气回路、氧含量监测单元、排风置换回路、声光报警装置做联动互锁逻辑设计。</w:t>
      </w:r>
    </w:p>
    <w:p>
      <w:pPr>
        <w:spacing w:line="360" w:lineRule="auto"/>
        <w:rPr>
          <w:rFonts w:hint="eastAsia" w:ascii="Times New Roman" w:hAnsi="Times New Roman" w:eastAsia="宋体" w:cs="Times New Roman"/>
          <w:color w:val="auto"/>
          <w:szCs w:val="24"/>
        </w:rPr>
      </w:pPr>
      <w:r>
        <w:rPr>
          <w:rFonts w:hint="eastAsia" w:ascii="Times New Roman" w:hAnsi="Times New Roman" w:eastAsia="宋体" w:cs="Times New Roman"/>
          <w:color w:val="auto"/>
          <w:szCs w:val="24"/>
        </w:rPr>
        <w:t>7.2 软/硬件配置：硬件层面配置机械式门锁、紧急停机按钮、氧浓度传感器、泄压与气体置换管路、隔离切断阀等。软件层面集成安全联锁控制程序、状态实时采集、故障报警、事件记录与权限管理功能。特殊情况检修门未完成闭锁，或O2含量低于安全阈值，声光报警持续报警所有N2阀门须保持全部关闭，CDA持续purge；人员开门进入维护模式时，自动切断N2供给，启动强制CDA purge，持续监测腔体内氧浓度，只有氧含量回升至安全区间、各项安全条件全部满足后，方可解除作业许可；</w:t>
      </w:r>
    </w:p>
    <w:p>
      <w:pPr>
        <w:spacing w:line="360" w:lineRule="auto"/>
        <w:rPr>
          <w:rFonts w:ascii="Times New Roman" w:hAnsi="Times New Roman" w:eastAsia="宋体" w:cs="Times New Roman"/>
          <w:color w:val="auto"/>
          <w:szCs w:val="24"/>
        </w:rPr>
      </w:pPr>
      <w:r>
        <w:rPr>
          <w:rFonts w:hint="eastAsia" w:ascii="Times New Roman" w:hAnsi="Times New Roman" w:eastAsia="宋体" w:cs="Times New Roman"/>
          <w:color w:val="auto"/>
          <w:szCs w:val="24"/>
        </w:rPr>
        <w:t>7.3 操作及安全培训：须提供完整的操作及安全培训。</w:t>
      </w:r>
    </w:p>
    <w:p>
      <w:pPr>
        <w:widowControl/>
        <w:numPr>
          <w:ilvl w:val="0"/>
          <w:numId w:val="0"/>
        </w:numPr>
        <w:spacing w:line="360" w:lineRule="auto"/>
        <w:jc w:val="left"/>
        <w:rPr>
          <w:rFonts w:hint="eastAsia" w:ascii="宋体" w:hAnsi="宋体" w:eastAsia="宋体" w:cs="宋体"/>
          <w:b/>
          <w:color w:val="auto"/>
          <w:kern w:val="0"/>
          <w:szCs w:val="21"/>
          <w:lang w:val="en-AU"/>
        </w:rPr>
      </w:pPr>
      <w:r>
        <w:rPr>
          <w:rFonts w:hint="eastAsia" w:ascii="宋体" w:hAnsi="宋体" w:eastAsia="宋体" w:cs="宋体"/>
          <w:b/>
          <w:color w:val="auto"/>
          <w:kern w:val="0"/>
          <w:szCs w:val="21"/>
          <w:lang w:val="en-AU" w:eastAsia="zh-CN"/>
        </w:rPr>
        <w:t>（</w:t>
      </w:r>
      <w:r>
        <w:rPr>
          <w:rFonts w:hint="eastAsia" w:ascii="宋体" w:hAnsi="宋体" w:eastAsia="宋体" w:cs="宋体"/>
          <w:b/>
          <w:color w:val="auto"/>
          <w:kern w:val="0"/>
          <w:szCs w:val="21"/>
          <w:lang w:val="en-US" w:eastAsia="zh-CN"/>
        </w:rPr>
        <w:t>五</w:t>
      </w:r>
      <w:r>
        <w:rPr>
          <w:rFonts w:hint="eastAsia" w:ascii="宋体" w:hAnsi="宋体" w:eastAsia="宋体" w:cs="宋体"/>
          <w:b/>
          <w:color w:val="auto"/>
          <w:kern w:val="0"/>
          <w:szCs w:val="21"/>
          <w:lang w:val="en-AU" w:eastAsia="zh-CN"/>
        </w:rPr>
        <w:t>）</w:t>
      </w:r>
      <w:r>
        <w:rPr>
          <w:rFonts w:ascii="宋体" w:hAnsi="宋体" w:eastAsia="宋体" w:cs="宋体"/>
          <w:b/>
          <w:color w:val="auto"/>
          <w:kern w:val="0"/>
          <w:szCs w:val="21"/>
          <w:lang w:val="en-AU"/>
        </w:rPr>
        <w:t>配置清单</w:t>
      </w:r>
    </w:p>
    <w:tbl>
      <w:tblPr>
        <w:tblStyle w:val="28"/>
        <w:tblW w:w="500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092"/>
        <w:gridCol w:w="6293"/>
        <w:gridCol w:w="9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6"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7"/>
              <w:ind w:left="115" w:right="109"/>
              <w:jc w:val="center"/>
              <w:rPr>
                <w:rFonts w:hint="eastAsia" w:ascii="宋体" w:hAnsi="宋体" w:eastAsia="宋体" w:cs="Times New Roman"/>
                <w:b/>
                <w:color w:val="auto"/>
                <w:szCs w:val="21"/>
                <w:lang w:val="zh-CN"/>
              </w:rPr>
            </w:pPr>
            <w:r>
              <w:rPr>
                <w:rFonts w:ascii="宋体" w:hAnsi="宋体" w:eastAsia="宋体" w:cs="Times New Roman"/>
                <w:b/>
                <w:color w:val="auto"/>
                <w:szCs w:val="21"/>
                <w:lang w:val="zh-CN"/>
              </w:rPr>
              <w:t>序号</w:t>
            </w:r>
          </w:p>
        </w:tc>
        <w:tc>
          <w:tcPr>
            <w:tcW w:w="3778"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7"/>
              <w:ind w:left="74" w:right="65"/>
              <w:jc w:val="center"/>
              <w:rPr>
                <w:rFonts w:hint="eastAsia" w:ascii="宋体" w:hAnsi="宋体" w:eastAsia="宋体" w:cs="Times New Roman"/>
                <w:b/>
                <w:color w:val="auto"/>
                <w:szCs w:val="21"/>
                <w:lang w:val="zh-CN"/>
              </w:rPr>
            </w:pPr>
            <w:r>
              <w:rPr>
                <w:rFonts w:ascii="宋体" w:hAnsi="宋体" w:eastAsia="宋体" w:cs="Times New Roman"/>
                <w:b/>
                <w:color w:val="auto"/>
                <w:szCs w:val="21"/>
                <w:lang w:val="zh-CN"/>
              </w:rPr>
              <w:t>名称</w:t>
            </w:r>
          </w:p>
        </w:tc>
        <w:tc>
          <w:tcPr>
            <w:tcW w:w="565"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7"/>
              <w:ind w:left="128" w:right="120"/>
              <w:jc w:val="center"/>
              <w:rPr>
                <w:rFonts w:hint="eastAsia" w:ascii="宋体" w:hAnsi="宋体" w:eastAsia="宋体" w:cs="Times New Roman"/>
                <w:b/>
                <w:color w:val="auto"/>
                <w:szCs w:val="21"/>
                <w:lang w:val="zh-CN"/>
              </w:rPr>
            </w:pPr>
            <w:r>
              <w:rPr>
                <w:rFonts w:ascii="宋体" w:hAnsi="宋体" w:eastAsia="宋体" w:cs="Times New Roman"/>
                <w:b/>
                <w:color w:val="auto"/>
                <w:szCs w:val="21"/>
                <w:lang w:val="zh-CN"/>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6"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lang w:val="zh-CN"/>
              </w:rPr>
            </w:pPr>
            <w:r>
              <w:rPr>
                <w:rFonts w:ascii="宋体" w:hAnsi="宋体" w:eastAsia="宋体" w:cs="宋体"/>
                <w:color w:val="auto"/>
                <w:szCs w:val="24"/>
              </w:rPr>
              <w:t>1</w:t>
            </w:r>
          </w:p>
        </w:tc>
        <w:tc>
          <w:tcPr>
            <w:tcW w:w="3778"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lang w:val="zh-CN"/>
              </w:rPr>
            </w:pPr>
            <w:r>
              <w:rPr>
                <w:rFonts w:ascii="Times New Roman" w:hAnsi="Times New Roman" w:eastAsia="宋体" w:cs="宋体"/>
                <w:color w:val="auto"/>
                <w:szCs w:val="24"/>
              </w:rPr>
              <w:t>OLED喷墨打印环境维持系统</w:t>
            </w:r>
            <w:r>
              <w:rPr>
                <w:rFonts w:ascii="宋体" w:hAnsi="宋体" w:eastAsia="宋体" w:cs="宋体"/>
                <w:color w:val="auto"/>
                <w:szCs w:val="24"/>
              </w:rPr>
              <w:t>（</w:t>
            </w:r>
            <w:r>
              <w:rPr>
                <w:rFonts w:ascii="Times New Roman" w:hAnsi="Times New Roman" w:eastAsia="宋体" w:cs="宋体"/>
                <w:color w:val="auto"/>
                <w:szCs w:val="24"/>
              </w:rPr>
              <w:t>密封箱体</w:t>
            </w:r>
            <w:r>
              <w:rPr>
                <w:rFonts w:ascii="宋体" w:hAnsi="宋体" w:eastAsia="宋体" w:cs="宋体"/>
                <w:color w:val="auto"/>
                <w:szCs w:val="24"/>
              </w:rPr>
              <w:t>、纯化器系统）</w:t>
            </w:r>
          </w:p>
        </w:tc>
        <w:tc>
          <w:tcPr>
            <w:tcW w:w="565"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lang w:val="zh-CN"/>
              </w:rPr>
            </w:pPr>
            <w:r>
              <w:rPr>
                <w:rFonts w:ascii="宋体" w:hAnsi="宋体" w:eastAsia="宋体" w:cs="宋体"/>
                <w:color w:val="auto"/>
                <w:szCs w:val="24"/>
              </w:rPr>
              <w:t>1套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6"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lang w:val="zh-CN"/>
              </w:rPr>
            </w:pPr>
            <w:r>
              <w:rPr>
                <w:rFonts w:ascii="宋体" w:hAnsi="宋体" w:eastAsia="宋体" w:cs="宋体"/>
                <w:color w:val="auto"/>
                <w:szCs w:val="24"/>
              </w:rPr>
              <w:t>2</w:t>
            </w:r>
          </w:p>
        </w:tc>
        <w:tc>
          <w:tcPr>
            <w:tcW w:w="3778"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lang w:val="zh-CN"/>
              </w:rPr>
            </w:pPr>
            <w:r>
              <w:rPr>
                <w:rFonts w:ascii="Times New Roman" w:hAnsi="Times New Roman" w:eastAsia="宋体" w:cs="宋体"/>
                <w:color w:val="auto"/>
                <w:szCs w:val="24"/>
              </w:rPr>
              <w:t>OLED基板传输环境维持系统</w:t>
            </w:r>
            <w:r>
              <w:rPr>
                <w:rFonts w:ascii="宋体" w:hAnsi="宋体" w:eastAsia="宋体" w:cs="宋体"/>
                <w:color w:val="auto"/>
                <w:szCs w:val="24"/>
              </w:rPr>
              <w:t>（</w:t>
            </w:r>
            <w:r>
              <w:rPr>
                <w:rFonts w:ascii="Times New Roman" w:hAnsi="Times New Roman" w:eastAsia="宋体" w:cs="宋体"/>
                <w:color w:val="auto"/>
                <w:szCs w:val="24"/>
              </w:rPr>
              <w:t>密封箱体</w:t>
            </w:r>
            <w:r>
              <w:rPr>
                <w:rFonts w:ascii="宋体" w:hAnsi="宋体" w:eastAsia="宋体" w:cs="宋体"/>
                <w:color w:val="auto"/>
                <w:szCs w:val="24"/>
              </w:rPr>
              <w:t>、纯化器系统）</w:t>
            </w:r>
          </w:p>
        </w:tc>
        <w:tc>
          <w:tcPr>
            <w:tcW w:w="565"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lang w:val="zh-CN"/>
              </w:rPr>
            </w:pPr>
            <w:r>
              <w:rPr>
                <w:rFonts w:ascii="宋体" w:hAnsi="宋体" w:eastAsia="宋体" w:cs="宋体"/>
                <w:color w:val="auto"/>
                <w:szCs w:val="24"/>
              </w:rPr>
              <w:t>1套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6"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lang w:val="zh-CN"/>
              </w:rPr>
            </w:pPr>
            <w:r>
              <w:rPr>
                <w:rFonts w:ascii="宋体" w:hAnsi="宋体" w:eastAsia="宋体" w:cs="宋体"/>
                <w:color w:val="auto"/>
                <w:szCs w:val="24"/>
              </w:rPr>
              <w:t>3</w:t>
            </w:r>
          </w:p>
        </w:tc>
        <w:tc>
          <w:tcPr>
            <w:tcW w:w="3778"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lang w:val="zh-CN"/>
              </w:rPr>
            </w:pPr>
            <w:r>
              <w:rPr>
                <w:rFonts w:ascii="Times New Roman" w:hAnsi="Times New Roman" w:eastAsia="宋体" w:cs="宋体"/>
                <w:color w:val="auto"/>
                <w:szCs w:val="24"/>
              </w:rPr>
              <w:t>OLED加墨手套箱系统</w:t>
            </w:r>
            <w:r>
              <w:rPr>
                <w:rFonts w:ascii="宋体" w:hAnsi="宋体" w:eastAsia="宋体" w:cs="宋体"/>
                <w:color w:val="auto"/>
                <w:szCs w:val="24"/>
              </w:rPr>
              <w:t>（</w:t>
            </w:r>
            <w:r>
              <w:rPr>
                <w:rFonts w:ascii="Times New Roman" w:hAnsi="Times New Roman" w:eastAsia="宋体" w:cs="宋体"/>
                <w:color w:val="auto"/>
                <w:szCs w:val="24"/>
              </w:rPr>
              <w:t>密封箱体</w:t>
            </w:r>
            <w:r>
              <w:rPr>
                <w:rFonts w:ascii="宋体" w:hAnsi="宋体" w:eastAsia="宋体" w:cs="宋体"/>
                <w:color w:val="auto"/>
                <w:szCs w:val="24"/>
              </w:rPr>
              <w:t>、纯化器系统）</w:t>
            </w:r>
          </w:p>
        </w:tc>
        <w:tc>
          <w:tcPr>
            <w:tcW w:w="565"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lang w:val="zh-CN"/>
              </w:rPr>
            </w:pPr>
            <w:r>
              <w:rPr>
                <w:rFonts w:ascii="宋体" w:hAnsi="宋体" w:eastAsia="宋体" w:cs="宋体"/>
                <w:color w:val="auto"/>
                <w:szCs w:val="24"/>
              </w:rPr>
              <w:t>2套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6"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rPr>
            </w:pPr>
            <w:r>
              <w:rPr>
                <w:rFonts w:ascii="宋体" w:hAnsi="宋体" w:eastAsia="宋体" w:cs="宋体"/>
                <w:color w:val="auto"/>
                <w:szCs w:val="24"/>
              </w:rPr>
              <w:t>4</w:t>
            </w:r>
          </w:p>
        </w:tc>
        <w:tc>
          <w:tcPr>
            <w:tcW w:w="3778"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rPr>
            </w:pPr>
            <w:r>
              <w:rPr>
                <w:rFonts w:ascii="宋体" w:hAnsi="宋体" w:eastAsia="宋体" w:cs="宋体"/>
                <w:color w:val="auto"/>
                <w:szCs w:val="24"/>
              </w:rPr>
              <w:t>备料备件（含常量氧含量传感器、水含量传感器、有机物溶剂含量传感器、臭氧含量传感器）</w:t>
            </w:r>
          </w:p>
        </w:tc>
        <w:tc>
          <w:tcPr>
            <w:tcW w:w="565"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lang w:val="zh-CN"/>
              </w:rPr>
            </w:pPr>
            <w:r>
              <w:rPr>
                <w:rFonts w:ascii="宋体" w:hAnsi="宋体" w:eastAsia="宋体" w:cs="宋体"/>
                <w:color w:val="auto"/>
                <w:szCs w:val="24"/>
              </w:rPr>
              <w:t>1套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6"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rPr>
            </w:pPr>
            <w:r>
              <w:rPr>
                <w:rFonts w:ascii="宋体" w:hAnsi="宋体" w:eastAsia="宋体" w:cs="宋体"/>
                <w:color w:val="auto"/>
                <w:szCs w:val="24"/>
              </w:rPr>
              <w:t>5</w:t>
            </w:r>
          </w:p>
        </w:tc>
        <w:tc>
          <w:tcPr>
            <w:tcW w:w="3778"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rPr>
            </w:pPr>
            <w:r>
              <w:rPr>
                <w:rFonts w:ascii="宋体" w:hAnsi="宋体" w:eastAsia="宋体" w:cs="宋体"/>
                <w:color w:val="auto"/>
                <w:szCs w:val="24"/>
              </w:rPr>
              <w:t>使用及维护说明书</w:t>
            </w:r>
          </w:p>
        </w:tc>
        <w:tc>
          <w:tcPr>
            <w:tcW w:w="565"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lang w:val="zh-CN"/>
              </w:rPr>
            </w:pPr>
            <w:r>
              <w:rPr>
                <w:rFonts w:ascii="宋体" w:hAnsi="宋体" w:eastAsia="宋体" w:cs="宋体"/>
                <w:color w:val="auto"/>
                <w:szCs w:val="24"/>
              </w:rPr>
              <w:t>1套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6"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lang w:val="zh-CN"/>
              </w:rPr>
            </w:pPr>
            <w:r>
              <w:rPr>
                <w:rFonts w:ascii="宋体" w:hAnsi="宋体" w:eastAsia="宋体" w:cs="宋体"/>
                <w:color w:val="auto"/>
                <w:szCs w:val="24"/>
              </w:rPr>
              <w:t>6</w:t>
            </w:r>
          </w:p>
        </w:tc>
        <w:tc>
          <w:tcPr>
            <w:tcW w:w="3778"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lang w:val="zh-CN"/>
              </w:rPr>
            </w:pPr>
            <w:r>
              <w:rPr>
                <w:rFonts w:ascii="Times New Roman" w:hAnsi="Times New Roman" w:eastAsia="宋体" w:cs="宋体"/>
                <w:color w:val="auto"/>
                <w:szCs w:val="24"/>
              </w:rPr>
              <w:t>OLED 喷印环境维持系统</w:t>
            </w:r>
            <w:r>
              <w:rPr>
                <w:rFonts w:ascii="宋体" w:hAnsi="宋体" w:eastAsia="宋体" w:cs="宋体"/>
                <w:color w:val="auto"/>
                <w:szCs w:val="24"/>
              </w:rPr>
              <w:t>本体装配及干涉相关CAD数据</w:t>
            </w:r>
          </w:p>
        </w:tc>
        <w:tc>
          <w:tcPr>
            <w:tcW w:w="565"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lang w:val="zh-CN"/>
              </w:rPr>
            </w:pPr>
            <w:r>
              <w:rPr>
                <w:rFonts w:ascii="宋体" w:hAnsi="宋体" w:eastAsia="宋体" w:cs="宋体"/>
                <w:color w:val="auto"/>
                <w:szCs w:val="24"/>
              </w:rPr>
              <w:t>1套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6"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lang w:val="zh-CN"/>
              </w:rPr>
            </w:pPr>
            <w:r>
              <w:rPr>
                <w:rFonts w:ascii="宋体" w:hAnsi="宋体" w:eastAsia="宋体" w:cs="宋体"/>
                <w:color w:val="auto"/>
                <w:szCs w:val="24"/>
              </w:rPr>
              <w:t>7</w:t>
            </w:r>
          </w:p>
        </w:tc>
        <w:tc>
          <w:tcPr>
            <w:tcW w:w="3778"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lang w:val="zh-CN"/>
              </w:rPr>
            </w:pPr>
            <w:r>
              <w:rPr>
                <w:rFonts w:ascii="宋体" w:hAnsi="宋体" w:eastAsia="宋体" w:cs="宋体"/>
                <w:color w:val="auto"/>
                <w:szCs w:val="24"/>
              </w:rPr>
              <w:t>技术文件（含电气图纸、机械装备图纸）</w:t>
            </w:r>
          </w:p>
        </w:tc>
        <w:tc>
          <w:tcPr>
            <w:tcW w:w="565" w:type="pct"/>
            <w:tcBorders>
              <w:top w:val="single" w:color="000000" w:sz="4" w:space="0"/>
              <w:left w:val="single" w:color="000000" w:sz="4" w:space="0"/>
              <w:bottom w:val="single" w:color="000000" w:sz="4" w:space="0"/>
              <w:right w:val="single" w:color="000000" w:sz="4" w:space="0"/>
              <w:tl2br w:val="nil"/>
              <w:tr2bl w:val="nil"/>
            </w:tcBorders>
            <w:vAlign w:val="center"/>
          </w:tcPr>
          <w:p>
            <w:pPr>
              <w:spacing w:before="149"/>
              <w:ind w:left="72" w:right="65"/>
              <w:jc w:val="center"/>
              <w:rPr>
                <w:rFonts w:hint="eastAsia" w:ascii="宋体" w:hAnsi="宋体" w:eastAsia="宋体" w:cs="宋体"/>
                <w:color w:val="auto"/>
                <w:szCs w:val="24"/>
                <w:lang w:val="zh-CN"/>
              </w:rPr>
            </w:pPr>
            <w:r>
              <w:rPr>
                <w:rFonts w:ascii="宋体" w:hAnsi="宋体" w:eastAsia="宋体" w:cs="宋体"/>
                <w:color w:val="auto"/>
                <w:szCs w:val="24"/>
              </w:rPr>
              <w:t>1套</w:t>
            </w:r>
          </w:p>
        </w:tc>
      </w:tr>
    </w:tbl>
    <w:p>
      <w:pPr>
        <w:jc w:val="left"/>
        <w:rPr>
          <w:rFonts w:ascii="Times New Roman" w:hAnsi="Times New Roman" w:eastAsia="宋体" w:cs="Times New Roman"/>
          <w:b/>
          <w:color w:val="auto"/>
          <w:szCs w:val="24"/>
        </w:rPr>
      </w:pPr>
    </w:p>
    <w:p>
      <w:pPr>
        <w:numPr>
          <w:ilvl w:val="0"/>
          <w:numId w:val="2"/>
        </w:numPr>
        <w:spacing w:line="360" w:lineRule="auto"/>
        <w:ind w:firstLine="0"/>
        <w:outlineLvl w:val="0"/>
        <w:rPr>
          <w:rFonts w:hint="eastAsia" w:ascii="宋体" w:hAnsi="宋体" w:eastAsia="宋体" w:cs="宋体"/>
          <w:b/>
          <w:bCs/>
          <w:color w:val="auto"/>
          <w:szCs w:val="21"/>
        </w:rPr>
      </w:pPr>
      <w:r>
        <w:rPr>
          <w:rFonts w:hint="eastAsia" w:ascii="宋体" w:hAnsi="宋体" w:eastAsia="宋体" w:cs="宋体"/>
          <w:b/>
          <w:bCs/>
          <w:color w:val="auto"/>
          <w:szCs w:val="21"/>
        </w:rPr>
        <w:t>商务要求</w:t>
      </w:r>
    </w:p>
    <w:tbl>
      <w:tblPr>
        <w:tblStyle w:val="2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8"/>
        <w:gridCol w:w="66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tcPr>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标的提供的时间</w:t>
            </w:r>
          </w:p>
        </w:tc>
        <w:tc>
          <w:tcPr>
            <w:tcW w:w="6638" w:type="dxa"/>
          </w:tcPr>
          <w:p>
            <w:pPr>
              <w:widowControl/>
              <w:jc w:val="left"/>
              <w:rPr>
                <w:rFonts w:hint="eastAsia" w:ascii="宋体" w:hAnsi="宋体" w:eastAsia="宋体" w:cs="Times New Roman"/>
                <w:color w:val="auto"/>
                <w:kern w:val="0"/>
                <w:szCs w:val="21"/>
              </w:rPr>
            </w:pPr>
            <w:r>
              <w:rPr>
                <w:rFonts w:ascii="宋体" w:hAnsi="宋体" w:eastAsia="宋体" w:cs="Arial"/>
                <w:b/>
                <w:bCs/>
                <w:color w:val="auto"/>
                <w:sz w:val="21"/>
                <w:szCs w:val="21"/>
              </w:rPr>
              <w:t>★交货期：自合同签订之日起6个月内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tcPr>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标的提供的地点</w:t>
            </w:r>
          </w:p>
        </w:tc>
        <w:tc>
          <w:tcPr>
            <w:tcW w:w="6638" w:type="dxa"/>
          </w:tcPr>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广东佛山季华实验室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8" w:type="dxa"/>
          </w:tcPr>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付款方式</w:t>
            </w:r>
          </w:p>
        </w:tc>
        <w:tc>
          <w:tcPr>
            <w:tcW w:w="6638" w:type="dxa"/>
          </w:tcPr>
          <w:p>
            <w:pPr>
              <w:widowControl/>
              <w:jc w:val="left"/>
              <w:rPr>
                <w:rFonts w:hint="eastAsia" w:ascii="宋体" w:hAnsi="宋体" w:eastAsia="宋体" w:cs="Times New Roman"/>
                <w:color w:val="auto"/>
                <w:kern w:val="0"/>
                <w:szCs w:val="21"/>
              </w:rPr>
            </w:pPr>
            <w:r>
              <w:rPr>
                <w:rFonts w:ascii="宋体" w:hAnsi="宋体" w:eastAsia="宋体" w:cs="Times New Roman"/>
                <w:color w:val="auto"/>
                <w:kern w:val="0"/>
                <w:szCs w:val="21"/>
                <w:lang w:eastAsia="zh-Hans"/>
              </w:rPr>
              <w:t>1期：</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1.中标人提供中华人民共和国关境内货物：付款方式电汇（T/T），按以下约定支付</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（1）预付款：签订合同后</w:t>
            </w:r>
            <w:r>
              <w:rPr>
                <w:rFonts w:ascii="宋体" w:hAnsi="宋体" w:eastAsia="宋体" w:cs="Times New Roman"/>
                <w:color w:val="auto"/>
                <w:kern w:val="0"/>
                <w:szCs w:val="21"/>
              </w:rPr>
              <w:t>（如中标人所投货物制造商为中小企业的，则为合同签订后5个工作日内）</w:t>
            </w:r>
            <w:r>
              <w:rPr>
                <w:rFonts w:ascii="宋体" w:hAnsi="宋体" w:eastAsia="宋体" w:cs="Times New Roman"/>
                <w:color w:val="auto"/>
                <w:kern w:val="0"/>
                <w:szCs w:val="21"/>
                <w:lang w:eastAsia="zh-Hans"/>
              </w:rPr>
              <w:t>，采购人向中标人支付合同总价的30%（预付款超过100万则需要中标人先提供预付款保函）；</w:t>
            </w:r>
          </w:p>
          <w:p>
            <w:pPr>
              <w:widowControl/>
              <w:jc w:val="left"/>
              <w:rPr>
                <w:rFonts w:hint="eastAsia" w:ascii="宋体" w:hAnsi="宋体" w:eastAsia="宋体" w:cs="Times New Roman"/>
                <w:color w:val="auto"/>
                <w:kern w:val="0"/>
                <w:szCs w:val="21"/>
              </w:rPr>
            </w:pPr>
            <w:r>
              <w:rPr>
                <w:rFonts w:hint="eastAsia" w:ascii="宋体" w:hAnsi="宋体" w:eastAsia="宋体" w:cs="Times New Roman"/>
                <w:color w:val="auto"/>
                <w:kern w:val="0"/>
                <w:szCs w:val="21"/>
              </w:rPr>
              <w:t>（2）发货款</w:t>
            </w:r>
            <w:r>
              <w:rPr>
                <w:rFonts w:hint="eastAsia" w:ascii="宋体" w:hAnsi="宋体" w:eastAsia="宋体" w:cs="Times New Roman"/>
                <w:color w:val="auto"/>
                <w:kern w:val="0"/>
                <w:szCs w:val="21"/>
                <w:lang w:eastAsia="zh-CN"/>
              </w:rPr>
              <w:t>（</w:t>
            </w:r>
            <w:r>
              <w:rPr>
                <w:rFonts w:hint="eastAsia" w:ascii="宋体" w:hAnsi="宋体" w:eastAsia="宋体" w:cs="Times New Roman"/>
                <w:color w:val="auto"/>
                <w:kern w:val="0"/>
                <w:szCs w:val="21"/>
                <w:lang w:val="en-US" w:eastAsia="zh-CN"/>
              </w:rPr>
              <w:t>出厂预验收后</w:t>
            </w:r>
            <w:r>
              <w:rPr>
                <w:rFonts w:hint="eastAsia" w:ascii="宋体" w:hAnsi="宋体" w:eastAsia="宋体" w:cs="Times New Roman"/>
                <w:color w:val="auto"/>
                <w:kern w:val="0"/>
                <w:szCs w:val="21"/>
                <w:lang w:eastAsia="zh-CN"/>
              </w:rPr>
              <w:t>）</w:t>
            </w:r>
            <w:r>
              <w:rPr>
                <w:rFonts w:hint="eastAsia" w:ascii="宋体" w:hAnsi="宋体" w:eastAsia="宋体" w:cs="Times New Roman"/>
                <w:color w:val="auto"/>
                <w:kern w:val="0"/>
                <w:szCs w:val="21"/>
              </w:rPr>
              <w:t>：在</w:t>
            </w:r>
            <w:r>
              <w:rPr>
                <w:rFonts w:hint="eastAsia" w:ascii="宋体" w:hAnsi="宋体" w:eastAsia="宋体" w:cs="Times New Roman"/>
                <w:color w:val="auto"/>
                <w:kern w:val="0"/>
                <w:szCs w:val="21"/>
                <w:lang w:val="en-US" w:eastAsia="zh-CN"/>
              </w:rPr>
              <w:t>出厂预验收后</w:t>
            </w:r>
            <w:r>
              <w:rPr>
                <w:rFonts w:hint="eastAsia" w:ascii="宋体" w:hAnsi="宋体" w:eastAsia="宋体" w:cs="Times New Roman"/>
                <w:color w:val="auto"/>
                <w:kern w:val="0"/>
                <w:szCs w:val="21"/>
              </w:rPr>
              <w:t>中标人提供</w:t>
            </w:r>
            <w:r>
              <w:rPr>
                <w:rFonts w:hint="eastAsia" w:ascii="宋体" w:hAnsi="宋体" w:eastAsia="宋体" w:cs="Times New Roman"/>
                <w:color w:val="auto"/>
                <w:kern w:val="0"/>
                <w:szCs w:val="21"/>
                <w:lang w:val="en-US" w:eastAsia="zh-CN"/>
              </w:rPr>
              <w:t>预验收报告和发货单</w:t>
            </w:r>
            <w:r>
              <w:rPr>
                <w:rFonts w:hint="eastAsia" w:ascii="宋体" w:hAnsi="宋体" w:eastAsia="宋体" w:cs="Times New Roman"/>
                <w:color w:val="auto"/>
                <w:kern w:val="0"/>
                <w:szCs w:val="21"/>
              </w:rPr>
              <w:t>，采购人向中标人支付合同总价的30%；</w:t>
            </w:r>
          </w:p>
          <w:p>
            <w:pPr>
              <w:widowControl/>
              <w:jc w:val="left"/>
              <w:rPr>
                <w:rStyle w:val="34"/>
                <w:rFonts w:hint="eastAsia" w:ascii="宋体" w:hAnsi="宋体" w:eastAsia="宋体" w:cs="Times New Roman"/>
                <w:color w:val="auto"/>
                <w:kern w:val="0"/>
                <w:lang w:eastAsia="zh-Hans"/>
              </w:rPr>
            </w:pPr>
            <w:r>
              <w:rPr>
                <w:rFonts w:ascii="宋体" w:hAnsi="宋体" w:eastAsia="宋体" w:cs="Times New Roman"/>
                <w:color w:val="auto"/>
                <w:kern w:val="0"/>
                <w:szCs w:val="21"/>
                <w:lang w:eastAsia="zh-Hans"/>
              </w:rPr>
              <w:t>（</w:t>
            </w:r>
            <w:r>
              <w:rPr>
                <w:rFonts w:hint="eastAsia" w:ascii="宋体" w:hAnsi="宋体" w:eastAsia="宋体" w:cs="Times New Roman"/>
                <w:color w:val="auto"/>
                <w:kern w:val="0"/>
                <w:szCs w:val="21"/>
              </w:rPr>
              <w:t>3</w:t>
            </w:r>
            <w:r>
              <w:rPr>
                <w:rFonts w:ascii="宋体" w:hAnsi="宋体" w:eastAsia="宋体" w:cs="Times New Roman"/>
                <w:color w:val="auto"/>
                <w:kern w:val="0"/>
                <w:szCs w:val="21"/>
                <w:lang w:eastAsia="zh-Hans"/>
              </w:rPr>
              <w:t>）</w:t>
            </w:r>
            <w:r>
              <w:rPr>
                <w:rFonts w:hint="eastAsia" w:ascii="宋体" w:hAnsi="宋体" w:eastAsia="宋体" w:cs="Times New Roman"/>
                <w:color w:val="auto"/>
                <w:kern w:val="0"/>
                <w:szCs w:val="21"/>
                <w:lang w:val="en-US" w:eastAsia="zh-CN"/>
              </w:rPr>
              <w:t>技术</w:t>
            </w:r>
            <w:r>
              <w:rPr>
                <w:rFonts w:ascii="宋体" w:hAnsi="宋体" w:eastAsia="宋体" w:cs="Times New Roman"/>
                <w:color w:val="auto"/>
                <w:kern w:val="0"/>
                <w:szCs w:val="21"/>
                <w:lang w:eastAsia="zh-Hans"/>
              </w:rPr>
              <w:t>验收款：货物安装调试结束，技术验收合格并交付使用后，自采购人技术验收合格</w:t>
            </w:r>
            <w:r>
              <w:rPr>
                <w:rFonts w:hint="eastAsia" w:ascii="宋体" w:hAnsi="宋体" w:eastAsia="宋体" w:cs="Times New Roman"/>
                <w:color w:val="auto"/>
                <w:kern w:val="0"/>
                <w:szCs w:val="21"/>
                <w:lang w:val="en-US" w:eastAsia="zh-CN"/>
              </w:rPr>
              <w:t>后</w:t>
            </w:r>
            <w:r>
              <w:rPr>
                <w:rFonts w:ascii="宋体" w:hAnsi="宋体" w:eastAsia="宋体" w:cs="Times New Roman"/>
                <w:color w:val="auto"/>
                <w:kern w:val="0"/>
                <w:szCs w:val="21"/>
                <w:lang w:eastAsia="zh-Hans"/>
              </w:rPr>
              <w:t>，中标人凭采购人签订的技术验收</w:t>
            </w:r>
            <w:r>
              <w:rPr>
                <w:rFonts w:hint="eastAsia" w:ascii="宋体" w:hAnsi="宋体" w:eastAsia="宋体" w:cs="Times New Roman"/>
                <w:color w:val="auto"/>
                <w:kern w:val="0"/>
                <w:szCs w:val="21"/>
                <w:lang w:val="en-US" w:eastAsia="zh-CN"/>
              </w:rPr>
              <w:t>报告</w:t>
            </w:r>
            <w:r>
              <w:rPr>
                <w:rFonts w:ascii="宋体" w:hAnsi="宋体" w:eastAsia="宋体" w:cs="Times New Roman"/>
                <w:color w:val="auto"/>
                <w:kern w:val="0"/>
                <w:szCs w:val="21"/>
                <w:lang w:eastAsia="zh-Hans"/>
              </w:rPr>
              <w:t>，采购人向中标人支付合同总价的</w:t>
            </w:r>
            <w:r>
              <w:rPr>
                <w:rFonts w:hint="eastAsia" w:ascii="宋体" w:hAnsi="宋体" w:eastAsia="宋体" w:cs="Times New Roman"/>
                <w:color w:val="auto"/>
                <w:kern w:val="0"/>
                <w:szCs w:val="21"/>
                <w:lang w:val="en-US" w:eastAsia="zh-CN"/>
              </w:rPr>
              <w:t>30</w:t>
            </w:r>
            <w:r>
              <w:rPr>
                <w:rFonts w:ascii="宋体" w:hAnsi="宋体" w:eastAsia="宋体" w:cs="Times New Roman"/>
                <w:color w:val="auto"/>
                <w:kern w:val="0"/>
                <w:szCs w:val="21"/>
                <w:lang w:eastAsia="zh-Hans"/>
              </w:rPr>
              <w:t>%。</w:t>
            </w:r>
          </w:p>
          <w:p>
            <w:pPr>
              <w:widowControl/>
              <w:jc w:val="left"/>
              <w:rPr>
                <w:rStyle w:val="34"/>
                <w:rFonts w:hint="eastAsia" w:ascii="宋体" w:hAnsi="宋体" w:eastAsia="宋体" w:cs="Times New Roman"/>
                <w:color w:val="auto"/>
                <w:kern w:val="0"/>
                <w:lang w:eastAsia="zh-CN"/>
              </w:rPr>
            </w:pPr>
            <w:r>
              <w:rPr>
                <w:rStyle w:val="34"/>
                <w:rFonts w:hint="eastAsia" w:ascii="宋体" w:hAnsi="宋体" w:eastAsia="宋体" w:cs="Times New Roman"/>
                <w:color w:val="auto"/>
                <w:kern w:val="0"/>
                <w:lang w:eastAsia="zh-CN"/>
              </w:rPr>
              <w:t>（</w:t>
            </w:r>
            <w:r>
              <w:rPr>
                <w:rStyle w:val="34"/>
                <w:rFonts w:hint="eastAsia" w:ascii="宋体" w:hAnsi="宋体" w:eastAsia="宋体" w:cs="Times New Roman"/>
                <w:color w:val="auto"/>
                <w:kern w:val="0"/>
                <w:lang w:val="en-US" w:eastAsia="zh-CN"/>
              </w:rPr>
              <w:t>4</w:t>
            </w:r>
            <w:r>
              <w:rPr>
                <w:rStyle w:val="34"/>
                <w:rFonts w:hint="eastAsia" w:ascii="宋体" w:hAnsi="宋体" w:eastAsia="宋体" w:cs="Times New Roman"/>
                <w:color w:val="auto"/>
                <w:kern w:val="0"/>
                <w:lang w:eastAsia="zh-CN"/>
              </w:rPr>
              <w:t>）</w:t>
            </w:r>
            <w:r>
              <w:rPr>
                <w:rFonts w:hint="eastAsia" w:ascii="宋体" w:hAnsi="宋体" w:eastAsia="宋体" w:cs="Times New Roman"/>
                <w:color w:val="auto"/>
                <w:kern w:val="0"/>
                <w:szCs w:val="21"/>
                <w:lang w:val="en-US" w:eastAsia="zh-CN"/>
              </w:rPr>
              <w:t>最终</w:t>
            </w:r>
            <w:r>
              <w:rPr>
                <w:rFonts w:ascii="宋体" w:hAnsi="宋体" w:eastAsia="宋体" w:cs="Times New Roman"/>
                <w:color w:val="auto"/>
                <w:kern w:val="0"/>
                <w:szCs w:val="21"/>
                <w:lang w:eastAsia="zh-Hans"/>
              </w:rPr>
              <w:t>验收款：</w:t>
            </w:r>
            <w:r>
              <w:rPr>
                <w:rFonts w:hint="eastAsia" w:ascii="宋体" w:hAnsi="宋体" w:eastAsia="宋体" w:cs="Times New Roman"/>
                <w:color w:val="auto"/>
                <w:kern w:val="0"/>
                <w:szCs w:val="21"/>
                <w:lang w:val="en-US" w:eastAsia="zh-CN"/>
              </w:rPr>
              <w:t>在技术验收合格货物稳定运行6个月最终验收后</w:t>
            </w:r>
            <w:r>
              <w:rPr>
                <w:rFonts w:ascii="宋体" w:hAnsi="宋体" w:eastAsia="宋体" w:cs="Times New Roman"/>
                <w:color w:val="auto"/>
                <w:kern w:val="0"/>
                <w:szCs w:val="21"/>
                <w:lang w:eastAsia="zh-Hans"/>
              </w:rPr>
              <w:t>，</w:t>
            </w:r>
            <w:r>
              <w:rPr>
                <w:rFonts w:hint="eastAsia" w:ascii="宋体" w:hAnsi="宋体" w:eastAsia="宋体" w:cs="Times New Roman"/>
                <w:color w:val="auto"/>
                <w:kern w:val="0"/>
                <w:szCs w:val="21"/>
                <w:lang w:val="en-US" w:eastAsia="zh-CN"/>
              </w:rPr>
              <w:t>中标人凭采购人出具的</w:t>
            </w:r>
            <w:r>
              <w:rPr>
                <w:rFonts w:ascii="宋体" w:hAnsi="宋体" w:eastAsia="宋体" w:cs="Times New Roman"/>
                <w:color w:val="auto"/>
                <w:kern w:val="0"/>
                <w:szCs w:val="21"/>
                <w:lang w:eastAsia="zh-Hans"/>
              </w:rPr>
              <w:t>最终接收证书</w:t>
            </w:r>
            <w:r>
              <w:rPr>
                <w:rFonts w:hint="eastAsia" w:ascii="宋体" w:hAnsi="宋体" w:eastAsia="宋体" w:cs="Times New Roman"/>
                <w:color w:val="auto"/>
                <w:kern w:val="0"/>
                <w:szCs w:val="21"/>
                <w:lang w:val="en-US" w:eastAsia="zh-CN"/>
              </w:rPr>
              <w:t>后，</w:t>
            </w:r>
            <w:r>
              <w:rPr>
                <w:rFonts w:ascii="宋体" w:hAnsi="宋体" w:eastAsia="宋体" w:cs="Times New Roman"/>
                <w:color w:val="auto"/>
                <w:kern w:val="0"/>
                <w:szCs w:val="21"/>
                <w:lang w:eastAsia="zh-Hans"/>
              </w:rPr>
              <w:t>采购人向中标人支付合同总价的</w:t>
            </w:r>
            <w:r>
              <w:rPr>
                <w:rFonts w:hint="eastAsia" w:ascii="宋体" w:hAnsi="宋体" w:eastAsia="宋体" w:cs="Times New Roman"/>
                <w:color w:val="auto"/>
                <w:kern w:val="0"/>
                <w:szCs w:val="21"/>
                <w:lang w:val="en-US" w:eastAsia="zh-CN"/>
              </w:rPr>
              <w:t>1</w:t>
            </w:r>
            <w:r>
              <w:rPr>
                <w:rFonts w:ascii="宋体" w:hAnsi="宋体" w:eastAsia="宋体" w:cs="Times New Roman"/>
                <w:color w:val="auto"/>
                <w:kern w:val="0"/>
                <w:szCs w:val="21"/>
                <w:lang w:eastAsia="zh-Hans"/>
              </w:rPr>
              <w:t>0%。</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w:t>
            </w:r>
            <w:r>
              <w:rPr>
                <w:rFonts w:hint="eastAsia" w:ascii="宋体" w:hAnsi="宋体" w:eastAsia="宋体" w:cs="Times New Roman"/>
                <w:color w:val="auto"/>
                <w:kern w:val="0"/>
                <w:szCs w:val="21"/>
                <w:lang w:val="en-US" w:eastAsia="zh-CN"/>
              </w:rPr>
              <w:t>5</w:t>
            </w:r>
            <w:r>
              <w:rPr>
                <w:rFonts w:ascii="宋体" w:hAnsi="宋体" w:eastAsia="宋体" w:cs="Times New Roman"/>
                <w:color w:val="auto"/>
                <w:kern w:val="0"/>
                <w:szCs w:val="21"/>
                <w:lang w:eastAsia="zh-Hans"/>
              </w:rPr>
              <w:t>）中标人申请验收款项前需开具全额的增值税专用发票，且发票内容须与合同标的、金额、开票信息完全一致，发票不合规或与合同不符的，采购人有权拒绝付款。</w:t>
            </w:r>
          </w:p>
          <w:p>
            <w:pPr>
              <w:widowControl/>
              <w:jc w:val="left"/>
              <w:rPr>
                <w:rFonts w:hint="eastAsia" w:ascii="宋体" w:hAnsi="宋体" w:eastAsia="宋体" w:cs="Times New Roman"/>
                <w:color w:val="auto"/>
                <w:kern w:val="0"/>
                <w:szCs w:val="21"/>
                <w:lang w:eastAsia="zh-Hans"/>
              </w:rPr>
            </w:pPr>
            <w:r>
              <w:rPr>
                <w:rFonts w:hint="eastAsia" w:ascii="宋体" w:hAnsi="宋体" w:eastAsia="宋体" w:cs="Times New Roman"/>
                <w:color w:val="auto"/>
                <w:kern w:val="0"/>
                <w:szCs w:val="21"/>
              </w:rPr>
              <w:t>2</w:t>
            </w:r>
            <w:r>
              <w:rPr>
                <w:rFonts w:ascii="宋体" w:hAnsi="宋体" w:eastAsia="宋体" w:cs="Times New Roman"/>
                <w:color w:val="auto"/>
                <w:kern w:val="0"/>
                <w:szCs w:val="21"/>
                <w:lang w:eastAsia="zh-Hans"/>
              </w:rPr>
              <w:t>.对于满足合同支付条件的，每笔款项支付前，</w:t>
            </w:r>
            <w:r>
              <w:rPr>
                <w:rFonts w:ascii="宋体" w:hAnsi="宋体" w:eastAsia="宋体" w:cs="Times New Roman"/>
                <w:color w:val="auto"/>
                <w:kern w:val="0"/>
                <w:szCs w:val="21"/>
              </w:rPr>
              <w:t>中标供应商</w:t>
            </w:r>
            <w:r>
              <w:rPr>
                <w:rFonts w:ascii="宋体" w:hAnsi="宋体" w:eastAsia="宋体" w:cs="Times New Roman"/>
                <w:color w:val="auto"/>
                <w:kern w:val="0"/>
                <w:szCs w:val="21"/>
                <w:lang w:eastAsia="zh-Hans"/>
              </w:rPr>
              <w:t>须提交与每笔款项金额相等的正式发票</w:t>
            </w:r>
            <w:r>
              <w:rPr>
                <w:rFonts w:ascii="宋体" w:hAnsi="宋体" w:eastAsia="宋体" w:cs="Times New Roman"/>
                <w:color w:val="auto"/>
                <w:kern w:val="0"/>
                <w:szCs w:val="21"/>
              </w:rPr>
              <w:t>，</w:t>
            </w:r>
            <w:r>
              <w:rPr>
                <w:rFonts w:ascii="宋体" w:hAnsi="宋体" w:eastAsia="宋体" w:cs="Times New Roman"/>
                <w:color w:val="auto"/>
                <w:kern w:val="0"/>
                <w:szCs w:val="21"/>
                <w:lang w:eastAsia="zh-Hans"/>
              </w:rPr>
              <w:t>采购人原则上在收到发票后10个工作日内</w:t>
            </w:r>
            <w:r>
              <w:rPr>
                <w:rFonts w:ascii="宋体" w:hAnsi="宋体" w:eastAsia="宋体" w:cs="Times New Roman"/>
                <w:color w:val="auto"/>
                <w:kern w:val="0"/>
                <w:szCs w:val="21"/>
              </w:rPr>
              <w:t>（预付款除外）</w:t>
            </w:r>
            <w:r>
              <w:rPr>
                <w:rFonts w:ascii="宋体" w:hAnsi="宋体" w:eastAsia="宋体" w:cs="Times New Roman"/>
                <w:color w:val="auto"/>
                <w:kern w:val="0"/>
                <w:szCs w:val="21"/>
                <w:lang w:eastAsia="zh-Hans"/>
              </w:rPr>
              <w:t>按照采购合同约定完成资金支付。</w:t>
            </w:r>
          </w:p>
          <w:p>
            <w:pPr>
              <w:widowControl/>
              <w:jc w:val="left"/>
              <w:rPr>
                <w:rFonts w:hint="eastAsia" w:ascii="宋体" w:hAnsi="宋体" w:eastAsia="宋体" w:cs="Times New Roman"/>
                <w:color w:val="auto"/>
                <w:kern w:val="0"/>
                <w:szCs w:val="21"/>
                <w:lang w:eastAsia="zh-Hans"/>
              </w:rPr>
            </w:pPr>
            <w:r>
              <w:rPr>
                <w:rFonts w:hint="eastAsia" w:ascii="宋体" w:hAnsi="宋体" w:eastAsia="宋体" w:cs="Times New Roman"/>
                <w:color w:val="auto"/>
                <w:kern w:val="0"/>
                <w:szCs w:val="21"/>
              </w:rPr>
              <w:t>3</w:t>
            </w:r>
            <w:r>
              <w:rPr>
                <w:rFonts w:ascii="宋体" w:hAnsi="宋体" w:eastAsia="宋体" w:cs="Times New Roman"/>
                <w:color w:val="auto"/>
                <w:kern w:val="0"/>
                <w:szCs w:val="21"/>
                <w:lang w:eastAsia="zh-Hans"/>
              </w:rPr>
              <w:t>.付款期间如因特殊情况需调整，由采购人中标人双方协商处理。</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如项目发生合同融资，采购人需将合同款项支付到合同约定收款账户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tcPr>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验收要求</w:t>
            </w:r>
          </w:p>
        </w:tc>
        <w:tc>
          <w:tcPr>
            <w:tcW w:w="6638" w:type="dxa"/>
          </w:tcPr>
          <w:p>
            <w:pPr>
              <w:widowControl/>
              <w:jc w:val="left"/>
              <w:rPr>
                <w:rFonts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在货物安装调试完毕并连续稳定运行72小时无故障后，投标人可凭借全套验收资料向采购人发起验收申请，采购人在收到投标人的验收申请后30日内完成货物验收。</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货物验收程序分为</w:t>
            </w:r>
            <w:r>
              <w:rPr>
                <w:rFonts w:hint="eastAsia" w:ascii="宋体" w:hAnsi="宋体" w:eastAsia="宋体" w:cs="Times New Roman"/>
                <w:color w:val="auto"/>
                <w:kern w:val="0"/>
                <w:szCs w:val="21"/>
                <w:lang w:val="en-US" w:eastAsia="zh-CN"/>
              </w:rPr>
              <w:t>出厂</w:t>
            </w:r>
            <w:r>
              <w:rPr>
                <w:rFonts w:ascii="宋体" w:hAnsi="宋体" w:eastAsia="宋体" w:cs="Times New Roman"/>
                <w:color w:val="auto"/>
                <w:kern w:val="0"/>
                <w:szCs w:val="21"/>
                <w:lang w:eastAsia="zh-Hans"/>
              </w:rPr>
              <w:t>预验收、开箱验收、安装调试、技术验收、最终验收。</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1.预验</w:t>
            </w:r>
            <w:r>
              <w:rPr>
                <w:rFonts w:hint="eastAsia" w:ascii="宋体" w:hAnsi="宋体" w:eastAsia="宋体" w:cs="Times New Roman"/>
                <w:color w:val="auto"/>
                <w:kern w:val="0"/>
                <w:szCs w:val="21"/>
                <w:lang w:val="en-US" w:eastAsia="zh-CN"/>
              </w:rPr>
              <w:t>收</w:t>
            </w:r>
            <w:r>
              <w:rPr>
                <w:rFonts w:ascii="宋体" w:hAnsi="宋体" w:eastAsia="宋体" w:cs="Times New Roman"/>
                <w:color w:val="auto"/>
                <w:kern w:val="0"/>
                <w:szCs w:val="21"/>
                <w:lang w:eastAsia="zh-Hans"/>
              </w:rPr>
              <w:t>：货物出厂前，中标人应提前通知采购人，采购人派人到生产厂地进行预备验收，以保证货物符合采购人的需求，签订《预验收报告》。</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2.开箱验收：货物送达采购人指定位置后，于货物货物安装调试前进行开箱验收，验收通过签订《开箱验收单》。</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1）以技术协议第一条“配置清单”“随机文件”为依据，采购人投标人双方代表共同开箱清点货物、配件、资料等，经查验，实收货物完好并与上述清单所列示内容一致，采购人在“开箱验收单”上签字。如出现不符，投标人负责解决相关事宜，赔偿因此给采购人造成的损失。</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2）随机文件包括但不限于：关键主机设备的用户手册、保修手册，单证资料、出厂合格检验证书、货物产地证明书及原厂货物质量证明书和出厂验收报告等，及配备件、随机工具、使用操作及安全须知等资料，上述资料在采购人投标人双方开箱检验后完成交接。</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（3）投标人必须承诺：凡列入《中华人民共和国实施强制性产品认证的产品目录》的产品在验收时必须出具加盖投标人公章的CCC认证证书复印件，并在产品外部加施认证标志作为验收依据之一。</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3.安装调试：</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（1）投标人负责货物在使用现场的安装调试工作。开箱验收合格后，投标人工程师应立即进行安装调试工作。投标人须依照招标文件的要求和投标文件的承诺，将货物、系统安装并调试至正常运行的最佳状态。</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（2）投标人承担开箱后至技术验收完成期间货物的存储责任。安装调试期间设备毁损、灭失的风险由投标人承担，直至采购人签署技术验收单为止。</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4.技术验收：安装调试完成后，双方对货物进行技术验收。因采购人原因导致验收推迟的，验收时限相应顺延。</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（1）检测依据及标准</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本协议第二条款“主要技术指标”。</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（2）检测内容：检测内容应完全包含投标文件所列的主要技术指标，可根据实际情况进行补充检验项目，但不能减少。</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依据验收标准，编制验收大纲，对“检验内容”所列示的性能指标，按照上述约定的“检验方法”，双方对货物各项功能、指标进行符合性测试，形成验收报告，结果合格达到技术指标规定后，双方签署“技术验收单”并加盖公章，作为货物完成技术验收的依据，货物进入质保期。</w:t>
            </w:r>
          </w:p>
          <w:p>
            <w:pPr>
              <w:widowControl/>
              <w:numPr>
                <w:ilvl w:val="-1"/>
                <w:numId w:val="0"/>
              </w:numPr>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5.最终验收：技术验收通过之后满</w:t>
            </w:r>
            <w:r>
              <w:rPr>
                <w:rFonts w:hint="eastAsia" w:ascii="宋体" w:hAnsi="宋体" w:eastAsia="宋体" w:cs="Times New Roman"/>
                <w:color w:val="auto"/>
                <w:kern w:val="0"/>
                <w:szCs w:val="21"/>
                <w:lang w:val="en-US" w:eastAsia="zh-CN"/>
              </w:rPr>
              <w:t>6个月后</w:t>
            </w:r>
            <w:r>
              <w:rPr>
                <w:rFonts w:ascii="宋体" w:hAnsi="宋体" w:eastAsia="宋体" w:cs="Times New Roman"/>
                <w:color w:val="auto"/>
                <w:kern w:val="0"/>
                <w:szCs w:val="21"/>
                <w:lang w:eastAsia="zh-Hans"/>
              </w:rPr>
              <w:t>，未产生质量问题或已按要求解决问题，双方签署《最终接收证书》并加盖公章。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tcPr>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履约保证金</w:t>
            </w:r>
          </w:p>
        </w:tc>
        <w:tc>
          <w:tcPr>
            <w:tcW w:w="6638" w:type="dxa"/>
          </w:tcPr>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不收取</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tcPr>
          <w:p>
            <w:pPr>
              <w:widowControl/>
              <w:jc w:val="left"/>
              <w:rPr>
                <w:rFonts w:hint="eastAsia" w:ascii="宋体" w:hAnsi="宋体" w:eastAsia="宋体" w:cs="Times New Roman"/>
                <w:color w:val="auto"/>
                <w:kern w:val="0"/>
                <w:szCs w:val="21"/>
              </w:rPr>
            </w:pPr>
            <w:r>
              <w:rPr>
                <w:rFonts w:ascii="宋体" w:hAnsi="宋体" w:eastAsia="宋体" w:cs="Times New Roman"/>
                <w:color w:val="auto"/>
                <w:kern w:val="0"/>
                <w:szCs w:val="21"/>
                <w:lang w:eastAsia="zh-Hans"/>
              </w:rPr>
              <w:t>投标报价</w:t>
            </w:r>
          </w:p>
        </w:tc>
        <w:tc>
          <w:tcPr>
            <w:tcW w:w="6638" w:type="dxa"/>
          </w:tcPr>
          <w:p>
            <w:pPr>
              <w:widowControl/>
              <w:jc w:val="left"/>
              <w:rPr>
                <w:rFonts w:hint="eastAsia" w:ascii="宋体" w:hAnsi="宋体" w:eastAsia="宋体" w:cs="Times New Roman"/>
                <w:color w:val="auto"/>
                <w:kern w:val="0"/>
                <w:szCs w:val="21"/>
              </w:rPr>
            </w:pPr>
            <w:r>
              <w:rPr>
                <w:rFonts w:ascii="宋体" w:hAnsi="宋体" w:eastAsia="宋体" w:cs="Times New Roman"/>
                <w:color w:val="auto"/>
                <w:kern w:val="0"/>
                <w:szCs w:val="21"/>
                <w:lang w:eastAsia="zh-Hans"/>
              </w:rPr>
              <w:t>从中华人民共和国关境内提供的货物,包括关境内制造的货物&amp;投标截止时间前已经进口的货物：（报货物运送至采购人指定现场包干价（国产货物）/DDP价（境内进口货物），其他包括但不限于以下）</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①　各项税费，包括向中华人民共和国政府缴纳的增值税、进口制造部件和原材料或进口货物关税、增值税和其他税费，必要时提供完税证明。</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②　交货到使用现场（采购人指定到货地点）产生的全部费用，包括货物运至最终目的地的运输费、保险费及与货物交运相关的其他费用。</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③　安装与调试、验收、检验、培训、技术文件的移交、质量保证期服务、技术服务、售后服务及招标文件要求提供的其他服务等，包括但不限于安装调试过程中损耗、额外材料、设计费等。</w:t>
            </w:r>
          </w:p>
          <w:p>
            <w:pPr>
              <w:widowControl/>
              <w:jc w:val="left"/>
              <w:rPr>
                <w:rFonts w:hint="eastAsia" w:ascii="宋体" w:hAnsi="宋体" w:eastAsia="宋体" w:cs="Times New Roman"/>
                <w:color w:val="auto"/>
                <w:kern w:val="0"/>
                <w:szCs w:val="21"/>
              </w:rPr>
            </w:pPr>
            <w:r>
              <w:rPr>
                <w:rFonts w:ascii="宋体" w:hAnsi="宋体" w:eastAsia="宋体" w:cs="Times New Roman"/>
                <w:color w:val="auto"/>
                <w:kern w:val="0"/>
                <w:szCs w:val="21"/>
                <w:lang w:eastAsia="zh-Hans"/>
              </w:rPr>
              <w:t>④　设备正常运行所需的专用工具和质量保证期内的备品备件费用。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tcPr>
          <w:p>
            <w:pPr>
              <w:widowControl/>
              <w:jc w:val="left"/>
              <w:rPr>
                <w:rFonts w:hint="eastAsia" w:ascii="宋体" w:hAnsi="宋体" w:eastAsia="宋体" w:cs="Times New Roman"/>
                <w:color w:val="auto"/>
                <w:kern w:val="0"/>
                <w:szCs w:val="21"/>
              </w:rPr>
            </w:pPr>
            <w:r>
              <w:rPr>
                <w:rFonts w:ascii="宋体" w:hAnsi="宋体" w:eastAsia="宋体" w:cs="Times New Roman"/>
                <w:color w:val="auto"/>
                <w:kern w:val="0"/>
                <w:szCs w:val="21"/>
              </w:rPr>
              <w:t>交货期、交货地点</w:t>
            </w:r>
          </w:p>
        </w:tc>
        <w:tc>
          <w:tcPr>
            <w:tcW w:w="6638" w:type="dxa"/>
          </w:tcPr>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1.</w:t>
            </w:r>
            <w:r>
              <w:rPr>
                <w:rFonts w:hint="eastAsia"/>
                <w:color w:val="auto"/>
              </w:rPr>
              <w:t xml:space="preserve"> </w:t>
            </w:r>
            <w:r>
              <w:rPr>
                <w:rFonts w:ascii="宋体" w:hAnsi="宋体" w:eastAsia="宋体" w:cs="Times New Roman"/>
                <w:color w:val="auto"/>
                <w:kern w:val="0"/>
                <w:szCs w:val="21"/>
                <w:lang w:eastAsia="zh-Hans"/>
              </w:rPr>
              <w:t>★交货期：自合同签订之日起6个月内</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2.交货地点：采购人指定地点（季华实验室）</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3.如投标人未能按时履行交货义务，采购人有权单方面终止合同，投标人需退还采购人已支付的全部款项，并赔偿采购人由此造成遭受的全部损失。如采购人选择继续履行合同的，投标人应积极支付逾期违约金，赔偿因逾期造成的实际损失，并全面履行合同项下义务。</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tcPr>
          <w:p>
            <w:pPr>
              <w:widowControl/>
              <w:jc w:val="left"/>
              <w:rPr>
                <w:rFonts w:hint="eastAsia" w:ascii="宋体" w:hAnsi="宋体" w:eastAsia="宋体" w:cs="Times New Roman"/>
                <w:color w:val="auto"/>
                <w:kern w:val="0"/>
                <w:szCs w:val="21"/>
              </w:rPr>
            </w:pPr>
            <w:r>
              <w:rPr>
                <w:rFonts w:ascii="宋体" w:hAnsi="宋体" w:eastAsia="宋体" w:cs="Times New Roman"/>
                <w:color w:val="auto"/>
                <w:kern w:val="0"/>
                <w:szCs w:val="21"/>
              </w:rPr>
              <w:t>货物质量要求</w:t>
            </w:r>
          </w:p>
        </w:tc>
        <w:tc>
          <w:tcPr>
            <w:tcW w:w="6638" w:type="dxa"/>
          </w:tcPr>
          <w:p>
            <w:pPr>
              <w:pStyle w:val="62"/>
              <w:rPr>
                <w:rFonts w:hint="eastAsia" w:ascii="宋体" w:hAnsi="宋体" w:eastAsia="宋体" w:cs="宋体"/>
                <w:color w:val="auto"/>
                <w:kern w:val="0"/>
                <w:sz w:val="21"/>
                <w:szCs w:val="21"/>
                <w:lang w:eastAsia="zh-Hans"/>
              </w:rPr>
            </w:pPr>
            <w:r>
              <w:rPr>
                <w:rFonts w:hint="eastAsia" w:ascii="宋体" w:hAnsi="宋体" w:eastAsia="宋体" w:cs="宋体"/>
                <w:color w:val="auto"/>
                <w:sz w:val="21"/>
                <w:szCs w:val="21"/>
              </w:rPr>
              <w:t>1.投标人交付的货物之质量、技术、环保、安全、卫生等标准必须符合中华人民共和国国家标准，如约定的标准高于国家标准的，则按约定的标准执行。在既无约定的标准，亦无国家标准时，则按行业标准执行；无行业标准的，按商业惯例。</w:t>
            </w:r>
            <w:r>
              <w:rPr>
                <w:rFonts w:hint="eastAsia" w:ascii="宋体" w:hAnsi="宋体" w:eastAsia="宋体" w:cs="宋体"/>
                <w:color w:val="auto"/>
                <w:sz w:val="21"/>
                <w:szCs w:val="21"/>
                <w:lang w:eastAsia="zh-CN"/>
              </w:rPr>
              <w:t>（上述提及标准为非国家强制性标准）</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2.上款所说“约定的标准”是指：</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(1)</w:t>
            </w:r>
            <w:r>
              <w:rPr>
                <w:rFonts w:ascii="宋体" w:hAnsi="宋体" w:eastAsia="宋体" w:cs="Times New Roman"/>
                <w:color w:val="auto"/>
                <w:kern w:val="0"/>
                <w:szCs w:val="21"/>
                <w:lang w:eastAsia="zh-Hans"/>
              </w:rPr>
              <w:tab/>
            </w:r>
            <w:r>
              <w:rPr>
                <w:rFonts w:ascii="宋体" w:hAnsi="宋体" w:eastAsia="宋体" w:cs="Times New Roman"/>
                <w:color w:val="auto"/>
                <w:kern w:val="0"/>
                <w:szCs w:val="21"/>
                <w:lang w:eastAsia="zh-Hans"/>
              </w:rPr>
              <w:t>《招标文件》中的“采购需求”所设定的质量标准和投标人在《投标文件》中对此做出的陈述或“响应”。凡投标人单方面在《投标文件》中做出的优于《招标文件》所设定的质量标准、技术指标或参数、性能、环保或节能标准，附件、技术或信息服务与支持、售后服务以及其他任何优厚条件之陈述或意思表示，一旦与《招标文件》设定的标准不一致，以招标文件要求为基准，当投标文件响应优于招标文件时，按投标文件承诺执行。</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(2)</w:t>
            </w:r>
            <w:r>
              <w:rPr>
                <w:rFonts w:ascii="宋体" w:hAnsi="宋体" w:eastAsia="宋体" w:cs="Times New Roman"/>
                <w:color w:val="auto"/>
                <w:kern w:val="0"/>
                <w:szCs w:val="21"/>
                <w:lang w:eastAsia="zh-Hans"/>
              </w:rPr>
              <w:tab/>
            </w:r>
            <w:r>
              <w:rPr>
                <w:rFonts w:ascii="宋体" w:hAnsi="宋体" w:eastAsia="宋体" w:cs="Times New Roman"/>
                <w:color w:val="auto"/>
                <w:kern w:val="0"/>
                <w:szCs w:val="21"/>
                <w:lang w:eastAsia="zh-Hans"/>
              </w:rPr>
              <w:t>在招投标过程中属于投标人送交了经采购人确认的货物样板的（双方共同签署《货物样板确认书》并封存成品样板），此样板即为最低验收标准，实际交付的货物均应有产品质量检验合格标志。</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3.投标人提供的货物必须是原制造商制造的全新产品，整机无污染，表面无划伤、无碰撞，无任何缺陷隐患、配件齐全，完全符合国家的有关质量标准，符合招投标文件的要求，并附有产品质量检验合格证书。</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4.货物为原厂商未启封全新包装产品，具备出厂合格证，序列号、包装箱号和出厂批号，并可</w:t>
            </w:r>
            <w:r>
              <w:rPr>
                <w:rFonts w:ascii="宋体" w:hAnsi="宋体" w:eastAsia="宋体" w:cs="Times New Roman"/>
                <w:color w:val="auto"/>
                <w:kern w:val="0"/>
                <w:szCs w:val="21"/>
              </w:rPr>
              <w:t>追溯</w:t>
            </w:r>
            <w:r>
              <w:rPr>
                <w:rFonts w:ascii="宋体" w:hAnsi="宋体" w:eastAsia="宋体" w:cs="Times New Roman"/>
                <w:color w:val="auto"/>
                <w:kern w:val="0"/>
                <w:szCs w:val="21"/>
                <w:lang w:eastAsia="zh-Hans"/>
              </w:rPr>
              <w:t>查阅。投标人应将关键主机设备的用户手册、保修手册、有关单证资料及配备件、随机工具等单独包装交付给采购人，使用操作及安全须知等重要资料应附有中文说明。</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5.若投标人提供的随机文件不完整或不符合要求，采购人有权要求投标人在规定时间内补齐或重新提供符合要求的文件。若因此导致设备无法正常使用或验收延迟，投标人应承担相应责任，并赔偿采购人因此遭受的全部损失。</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vAlign w:val="center"/>
          </w:tcPr>
          <w:p>
            <w:pPr>
              <w:widowControl/>
              <w:jc w:val="left"/>
              <w:rPr>
                <w:rFonts w:hint="eastAsia" w:ascii="宋体" w:hAnsi="宋体" w:eastAsia="宋体" w:cs="Times New Roman"/>
                <w:color w:val="auto"/>
                <w:kern w:val="0"/>
                <w:szCs w:val="21"/>
              </w:rPr>
            </w:pPr>
            <w:r>
              <w:rPr>
                <w:rFonts w:ascii="宋体" w:hAnsi="宋体" w:eastAsia="宋体" w:cs="Times New Roman"/>
                <w:color w:val="auto"/>
                <w:kern w:val="0"/>
                <w:szCs w:val="21"/>
                <w:lang w:eastAsia="zh-Hans"/>
              </w:rPr>
              <w:t>包装运输及货物搬运</w:t>
            </w:r>
          </w:p>
        </w:tc>
        <w:tc>
          <w:tcPr>
            <w:tcW w:w="6638" w:type="dxa"/>
            <w:vAlign w:val="center"/>
          </w:tcPr>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1.</w:t>
            </w:r>
            <w:r>
              <w:rPr>
                <w:rFonts w:ascii="宋体" w:hAnsi="宋体" w:eastAsia="宋体" w:cs="Arial"/>
                <w:color w:val="auto"/>
                <w:kern w:val="0"/>
                <w:szCs w:val="21"/>
                <w:lang w:eastAsia="zh-Hans"/>
              </w:rPr>
              <w:t xml:space="preserve"> </w:t>
            </w:r>
            <w:r>
              <w:rPr>
                <w:rFonts w:ascii="宋体" w:hAnsi="宋体" w:eastAsia="宋体" w:cs="Times New Roman"/>
                <w:color w:val="auto"/>
                <w:kern w:val="0"/>
                <w:szCs w:val="21"/>
                <w:lang w:eastAsia="zh-Hans"/>
              </w:rPr>
              <w:t>设备的包装必须是制造商原厂包装，包装箱应坚固、防潮、防锈、防震、防粗暴装卸，适于海、陆运输和整体吊装，保证产品运抵使用现场后设备结构、功能完好无损。</w:t>
            </w:r>
            <w:r>
              <w:rPr>
                <w:rFonts w:ascii="宋体" w:hAnsi="宋体" w:eastAsia="宋体" w:cs="Times New Roman"/>
                <w:color w:val="auto"/>
                <w:kern w:val="0"/>
                <w:szCs w:val="21"/>
                <w:lang w:eastAsia="zh-Hans"/>
              </w:rPr>
              <w:br w:type="textWrapping"/>
            </w:r>
            <w:r>
              <w:rPr>
                <w:rFonts w:ascii="宋体" w:hAnsi="宋体" w:eastAsia="宋体" w:cs="Times New Roman"/>
                <w:color w:val="auto"/>
                <w:kern w:val="0"/>
                <w:szCs w:val="21"/>
                <w:lang w:eastAsia="zh-Hans"/>
              </w:rPr>
              <w:t xml:space="preserve">2.凡由于包装不良造成的损失和由此产生的费用均由中标人承担。 </w:t>
            </w:r>
            <w:r>
              <w:rPr>
                <w:rFonts w:ascii="宋体" w:hAnsi="宋体" w:eastAsia="宋体" w:cs="Times New Roman"/>
                <w:color w:val="auto"/>
                <w:kern w:val="0"/>
                <w:szCs w:val="21"/>
                <w:lang w:eastAsia="zh-Hans"/>
              </w:rPr>
              <w:br w:type="textWrapping"/>
            </w:r>
            <w:r>
              <w:rPr>
                <w:rFonts w:ascii="宋体" w:hAnsi="宋体" w:eastAsia="宋体" w:cs="Times New Roman"/>
                <w:color w:val="auto"/>
                <w:kern w:val="0"/>
                <w:szCs w:val="21"/>
                <w:lang w:eastAsia="zh-Hans"/>
              </w:rPr>
              <w:t>3.</w:t>
            </w:r>
            <w:r>
              <w:rPr>
                <w:rFonts w:ascii="宋体" w:hAnsi="宋体" w:eastAsia="宋体" w:cs="Arial"/>
                <w:color w:val="auto"/>
                <w:kern w:val="0"/>
                <w:szCs w:val="21"/>
                <w:lang w:eastAsia="zh-Hans"/>
              </w:rPr>
              <w:t xml:space="preserve"> </w:t>
            </w:r>
            <w:r>
              <w:rPr>
                <w:rFonts w:ascii="宋体" w:hAnsi="宋体" w:eastAsia="宋体" w:cs="Times New Roman"/>
                <w:color w:val="auto"/>
                <w:kern w:val="0"/>
                <w:szCs w:val="21"/>
                <w:lang w:eastAsia="zh-Hans"/>
              </w:rPr>
              <w:t>由中标人负责组织落实设备搬运工作，包括但不限于拆装、封装、人力上下楼搬运、叉车、起重机等专用机械运输等。</w:t>
            </w:r>
            <w:r>
              <w:rPr>
                <w:rFonts w:ascii="宋体" w:hAnsi="宋体" w:eastAsia="宋体" w:cs="Times New Roman"/>
                <w:color w:val="auto"/>
                <w:kern w:val="0"/>
                <w:szCs w:val="21"/>
                <w:lang w:eastAsia="zh-Hans"/>
              </w:rPr>
              <w:br w:type="textWrapping"/>
            </w:r>
            <w:r>
              <w:rPr>
                <w:rFonts w:ascii="宋体" w:hAnsi="宋体" w:eastAsia="宋体" w:cs="Times New Roman"/>
                <w:color w:val="auto"/>
                <w:kern w:val="0"/>
                <w:szCs w:val="21"/>
                <w:lang w:eastAsia="zh-Hans"/>
              </w:rPr>
              <w:t>4.</w:t>
            </w:r>
            <w:r>
              <w:rPr>
                <w:rFonts w:ascii="宋体" w:hAnsi="宋体" w:eastAsia="宋体" w:cs="Arial"/>
                <w:color w:val="auto"/>
                <w:kern w:val="0"/>
                <w:szCs w:val="21"/>
                <w:lang w:eastAsia="zh-Hans"/>
              </w:rPr>
              <w:t xml:space="preserve"> </w:t>
            </w:r>
            <w:r>
              <w:rPr>
                <w:rFonts w:ascii="宋体" w:hAnsi="宋体" w:eastAsia="宋体" w:cs="Times New Roman"/>
                <w:color w:val="auto"/>
                <w:kern w:val="0"/>
                <w:szCs w:val="21"/>
                <w:lang w:eastAsia="zh-Hans"/>
              </w:rPr>
              <w:t>搬运期间的工具、材料和人员等费用全部由中标人负责，与采购人无关。</w:t>
            </w:r>
            <w:r>
              <w:rPr>
                <w:rFonts w:ascii="宋体" w:hAnsi="宋体" w:eastAsia="宋体" w:cs="Times New Roman"/>
                <w:color w:val="auto"/>
                <w:kern w:val="0"/>
                <w:szCs w:val="21"/>
                <w:lang w:eastAsia="zh-Hans"/>
              </w:rPr>
              <w:br w:type="textWrapping"/>
            </w:r>
            <w:r>
              <w:rPr>
                <w:rFonts w:ascii="宋体" w:hAnsi="宋体" w:eastAsia="宋体" w:cs="Times New Roman"/>
                <w:color w:val="auto"/>
                <w:kern w:val="0"/>
                <w:szCs w:val="21"/>
                <w:lang w:eastAsia="zh-Hans"/>
              </w:rPr>
              <w:t>5.</w:t>
            </w:r>
            <w:r>
              <w:rPr>
                <w:rFonts w:ascii="宋体" w:hAnsi="宋体" w:eastAsia="宋体" w:cs="Arial"/>
                <w:color w:val="auto"/>
                <w:kern w:val="0"/>
                <w:szCs w:val="21"/>
                <w:lang w:eastAsia="zh-Hans"/>
              </w:rPr>
              <w:t xml:space="preserve"> </w:t>
            </w:r>
            <w:r>
              <w:rPr>
                <w:rFonts w:ascii="宋体" w:hAnsi="宋体" w:eastAsia="宋体" w:cs="Times New Roman"/>
                <w:color w:val="auto"/>
                <w:kern w:val="0"/>
                <w:szCs w:val="21"/>
                <w:lang w:eastAsia="zh-Hans"/>
              </w:rPr>
              <w:t>如搬运过程中出现伤亡、雇佣、工资、财产损毁等费用及责任纠纷由中标人承担，与采购人无关。特殊情况下采购人代为支付的，可以向中标人追偿。</w:t>
            </w:r>
            <w:r>
              <w:rPr>
                <w:rFonts w:ascii="宋体" w:hAnsi="宋体" w:eastAsia="宋体" w:cs="Times New Roman"/>
                <w:color w:val="auto"/>
                <w:kern w:val="0"/>
                <w:szCs w:val="21"/>
                <w:lang w:eastAsia="zh-Hans"/>
              </w:rPr>
              <w:br w:type="textWrapping"/>
            </w:r>
            <w:r>
              <w:rPr>
                <w:rFonts w:ascii="宋体" w:hAnsi="宋体" w:eastAsia="宋体" w:cs="Times New Roman"/>
                <w:color w:val="auto"/>
                <w:kern w:val="0"/>
                <w:szCs w:val="21"/>
                <w:lang w:eastAsia="zh-Hans"/>
              </w:rPr>
              <w:t>6.</w:t>
            </w:r>
            <w:r>
              <w:rPr>
                <w:rFonts w:ascii="宋体" w:hAnsi="宋体" w:eastAsia="宋体" w:cs="Arial"/>
                <w:color w:val="auto"/>
                <w:kern w:val="0"/>
                <w:szCs w:val="21"/>
                <w:lang w:eastAsia="zh-Hans"/>
              </w:rPr>
              <w:t xml:space="preserve"> </w:t>
            </w:r>
            <w:r>
              <w:rPr>
                <w:rFonts w:ascii="宋体" w:hAnsi="宋体" w:eastAsia="宋体" w:cs="Times New Roman"/>
                <w:color w:val="auto"/>
                <w:kern w:val="0"/>
                <w:szCs w:val="21"/>
                <w:lang w:eastAsia="zh-Hans"/>
              </w:rPr>
              <w:t>按采购人要求到达采购人指定位置后，于设备安装调试前进行开箱验收。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vAlign w:val="center"/>
          </w:tcPr>
          <w:p>
            <w:pPr>
              <w:widowControl/>
              <w:jc w:val="left"/>
              <w:rPr>
                <w:rFonts w:hint="eastAsia" w:ascii="宋体" w:hAnsi="宋体" w:eastAsia="宋体" w:cs="Times New Roman"/>
                <w:color w:val="auto"/>
                <w:kern w:val="0"/>
                <w:szCs w:val="21"/>
              </w:rPr>
            </w:pPr>
            <w:r>
              <w:rPr>
                <w:rFonts w:ascii="宋体" w:hAnsi="宋体" w:eastAsia="宋体" w:cs="Times New Roman"/>
                <w:color w:val="auto"/>
                <w:kern w:val="0"/>
                <w:szCs w:val="21"/>
                <w:lang w:eastAsia="zh-Hans"/>
              </w:rPr>
              <w:t>设备接收</w:t>
            </w:r>
          </w:p>
        </w:tc>
        <w:tc>
          <w:tcPr>
            <w:tcW w:w="6638" w:type="dxa"/>
            <w:vAlign w:val="center"/>
          </w:tcPr>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1.货物运抵安装现场后，以投标人提供的装箱单为依据，在外包装完好的前提下，清点核对包装数量、尺寸和重量等明细信息，如实收货物与装箱单完全相符，采购人签收设备接收单。</w:t>
            </w:r>
            <w:r>
              <w:rPr>
                <w:rFonts w:ascii="宋体" w:hAnsi="宋体" w:eastAsia="宋体" w:cs="Times New Roman"/>
                <w:color w:val="auto"/>
                <w:kern w:val="0"/>
                <w:szCs w:val="21"/>
                <w:lang w:eastAsia="zh-Hans"/>
              </w:rPr>
              <w:br w:type="textWrapping"/>
            </w:r>
            <w:r>
              <w:rPr>
                <w:rFonts w:ascii="宋体" w:hAnsi="宋体" w:eastAsia="宋体" w:cs="Times New Roman"/>
                <w:color w:val="auto"/>
                <w:kern w:val="0"/>
                <w:szCs w:val="21"/>
                <w:lang w:eastAsia="zh-Hans"/>
              </w:rPr>
              <w:t>2.货物接收单仅作为货物到场的凭证，不视为采购人对货物质量、数量、技术指标等的最终认可。如出现差异，采购人出具货物短缺或破损报告，投标人负责解决相关索赔事宜，赔偿包括但不限于货物更换、补足费用等所有损失。</w:t>
            </w:r>
            <w:r>
              <w:rPr>
                <w:rFonts w:ascii="宋体" w:hAnsi="宋体" w:eastAsia="宋体" w:cs="Times New Roman"/>
                <w:color w:val="auto"/>
                <w:kern w:val="0"/>
                <w:szCs w:val="21"/>
                <w:lang w:eastAsia="zh-Hans"/>
              </w:rPr>
              <w:br w:type="textWrapping"/>
            </w:r>
            <w:r>
              <w:rPr>
                <w:rFonts w:ascii="宋体" w:hAnsi="宋体" w:eastAsia="宋体" w:cs="Times New Roman"/>
                <w:color w:val="auto"/>
                <w:kern w:val="0"/>
                <w:szCs w:val="21"/>
                <w:lang w:eastAsia="zh-Hans"/>
              </w:rPr>
              <w:t>3.采购人完成货物接收后，保持原出厂包装存放现场，货物安装前，采购人中标人双方共同在货物现场开箱检验供货明细。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vAlign w:val="center"/>
          </w:tcPr>
          <w:p>
            <w:pPr>
              <w:widowControl/>
              <w:jc w:val="left"/>
              <w:rPr>
                <w:rFonts w:hint="eastAsia" w:ascii="宋体" w:hAnsi="宋体" w:eastAsia="宋体" w:cs="Times New Roman"/>
                <w:color w:val="auto"/>
                <w:kern w:val="0"/>
                <w:szCs w:val="21"/>
              </w:rPr>
            </w:pPr>
            <w:r>
              <w:rPr>
                <w:rFonts w:ascii="宋体" w:hAnsi="宋体" w:eastAsia="宋体" w:cs="Times New Roman"/>
                <w:color w:val="auto"/>
                <w:kern w:val="0"/>
                <w:szCs w:val="21"/>
                <w:lang w:eastAsia="zh-Hans"/>
              </w:rPr>
              <w:t>货物安装</w:t>
            </w:r>
          </w:p>
        </w:tc>
        <w:tc>
          <w:tcPr>
            <w:tcW w:w="6638" w:type="dxa"/>
            <w:vAlign w:val="center"/>
          </w:tcPr>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 xml:space="preserve">1.投标人应在投标方案中提供货物安装条件要求，明确符合设备要求的安装场地条件，包括但不限于：场地面积、基础承重、电源、水源、特殊气体、特殊环境要求（防震/电磁屏蔽/洁净度等级/温湿度等）等。 </w:t>
            </w:r>
            <w:r>
              <w:rPr>
                <w:rFonts w:ascii="宋体" w:hAnsi="宋体" w:eastAsia="宋体" w:cs="Times New Roman"/>
                <w:color w:val="auto"/>
                <w:kern w:val="0"/>
                <w:szCs w:val="21"/>
                <w:lang w:eastAsia="zh-Hans"/>
              </w:rPr>
              <w:br w:type="textWrapping"/>
            </w:r>
            <w:r>
              <w:rPr>
                <w:rFonts w:ascii="宋体" w:hAnsi="宋体" w:eastAsia="宋体" w:cs="Times New Roman"/>
                <w:color w:val="auto"/>
                <w:kern w:val="0"/>
                <w:szCs w:val="21"/>
                <w:lang w:eastAsia="zh-Hans"/>
              </w:rPr>
              <w:t>2.采购人与中标人在双方签署的技术协议第三条“实验室货物安装条件要求”中明确双方的责任和义务。</w:t>
            </w:r>
            <w:r>
              <w:rPr>
                <w:rFonts w:ascii="宋体" w:hAnsi="宋体" w:eastAsia="宋体" w:cs="Times New Roman"/>
                <w:color w:val="auto"/>
                <w:kern w:val="0"/>
                <w:szCs w:val="21"/>
                <w:lang w:eastAsia="zh-Hans"/>
              </w:rPr>
              <w:br w:type="textWrapping"/>
            </w:r>
            <w:r>
              <w:rPr>
                <w:rFonts w:ascii="宋体" w:hAnsi="宋体" w:eastAsia="宋体" w:cs="Times New Roman"/>
                <w:color w:val="auto"/>
                <w:kern w:val="0"/>
                <w:szCs w:val="21"/>
                <w:lang w:eastAsia="zh-Hans"/>
              </w:rPr>
              <w:t>（1）采购人责任：采购人在设备安装前提供符合设备要求的安装场地，包括但不限于场地承重、水源/电源/气源接驳点，以及温湿度等条件；</w:t>
            </w:r>
            <w:r>
              <w:rPr>
                <w:rFonts w:ascii="宋体" w:hAnsi="宋体" w:eastAsia="宋体" w:cs="Times New Roman"/>
                <w:color w:val="auto"/>
                <w:kern w:val="0"/>
                <w:szCs w:val="21"/>
                <w:lang w:eastAsia="zh-Hans"/>
              </w:rPr>
              <w:br w:type="textWrapping"/>
            </w:r>
            <w:r>
              <w:rPr>
                <w:rFonts w:ascii="宋体" w:hAnsi="宋体" w:eastAsia="宋体" w:cs="Times New Roman"/>
                <w:color w:val="auto"/>
                <w:kern w:val="0"/>
                <w:szCs w:val="21"/>
                <w:lang w:eastAsia="zh-Hans"/>
              </w:rPr>
              <w:t>（2）中标人责任：中标人负责设备与水电</w:t>
            </w:r>
            <w:r>
              <w:rPr>
                <w:rFonts w:hint="eastAsia" w:ascii="宋体" w:hAnsi="宋体" w:eastAsia="宋体" w:cs="Times New Roman"/>
                <w:color w:val="auto"/>
                <w:kern w:val="0"/>
                <w:szCs w:val="21"/>
                <w:lang w:val="en-US" w:eastAsia="zh-CN"/>
              </w:rPr>
              <w:t>气</w:t>
            </w:r>
            <w:r>
              <w:rPr>
                <w:rFonts w:ascii="宋体" w:hAnsi="宋体" w:eastAsia="宋体" w:cs="Times New Roman"/>
                <w:color w:val="auto"/>
                <w:kern w:val="0"/>
                <w:szCs w:val="21"/>
                <w:lang w:eastAsia="zh-Hans"/>
              </w:rPr>
              <w:t>接驳点的最终连接（包括电缆、水管等辅材安装），完成设备安装调试及操作培训，并提供安装调试全程技术支持，确保符合安全规范。安装期间的安全责任由中标人承担，涉及高空/带电等特种作业的须持有效操作证上岗。安装前中标人提交《安装条件确认书》，《安装条件确认书》中应明确：</w:t>
            </w:r>
            <w:r>
              <w:rPr>
                <w:rFonts w:ascii="宋体" w:hAnsi="宋体" w:eastAsia="宋体" w:cs="Times New Roman"/>
                <w:color w:val="auto"/>
                <w:kern w:val="0"/>
                <w:szCs w:val="21"/>
                <w:lang w:eastAsia="zh-Hans"/>
              </w:rPr>
              <w:br w:type="textWrapping"/>
            </w:r>
            <w:r>
              <w:rPr>
                <w:rFonts w:ascii="宋体" w:hAnsi="宋体" w:eastAsia="宋体" w:cs="Times New Roman"/>
                <w:color w:val="auto"/>
                <w:kern w:val="0"/>
                <w:szCs w:val="21"/>
                <w:lang w:eastAsia="zh-Hans"/>
              </w:rPr>
              <w:t>a.基础承载、水电气接驳点位置及技术参数（电压、水压等）；</w:t>
            </w:r>
            <w:r>
              <w:rPr>
                <w:rFonts w:ascii="宋体" w:hAnsi="宋体" w:eastAsia="宋体" w:cs="Times New Roman"/>
                <w:color w:val="auto"/>
                <w:kern w:val="0"/>
                <w:szCs w:val="21"/>
                <w:lang w:eastAsia="zh-Hans"/>
              </w:rPr>
              <w:br w:type="textWrapping"/>
            </w:r>
            <w:r>
              <w:rPr>
                <w:rFonts w:ascii="宋体" w:hAnsi="宋体" w:eastAsia="宋体" w:cs="Times New Roman"/>
                <w:color w:val="auto"/>
                <w:kern w:val="0"/>
                <w:szCs w:val="21"/>
                <w:lang w:eastAsia="zh-Hans"/>
              </w:rPr>
              <w:t>b.特殊环境要求（防震/电磁屏蔽/洁净度等级）；</w:t>
            </w:r>
            <w:r>
              <w:rPr>
                <w:rFonts w:ascii="宋体" w:hAnsi="宋体" w:eastAsia="宋体" w:cs="Times New Roman"/>
                <w:color w:val="auto"/>
                <w:kern w:val="0"/>
                <w:szCs w:val="21"/>
                <w:lang w:eastAsia="zh-Hans"/>
              </w:rPr>
              <w:br w:type="textWrapping"/>
            </w:r>
            <w:r>
              <w:rPr>
                <w:rFonts w:ascii="宋体" w:hAnsi="宋体" w:eastAsia="宋体" w:cs="Times New Roman"/>
                <w:color w:val="auto"/>
                <w:kern w:val="0"/>
                <w:szCs w:val="21"/>
                <w:lang w:eastAsia="zh-Hans"/>
              </w:rPr>
              <w:t>c.需采购人配合的改造事项及时间节点。</w:t>
            </w:r>
            <w:r>
              <w:rPr>
                <w:rFonts w:ascii="宋体" w:hAnsi="宋体" w:eastAsia="宋体" w:cs="Times New Roman"/>
                <w:color w:val="auto"/>
                <w:kern w:val="0"/>
                <w:szCs w:val="21"/>
                <w:lang w:eastAsia="zh-Hans"/>
              </w:rPr>
              <w:br w:type="textWrapping"/>
            </w:r>
            <w:r>
              <w:rPr>
                <w:rFonts w:ascii="宋体" w:hAnsi="宋体" w:eastAsia="宋体" w:cs="Times New Roman"/>
                <w:color w:val="auto"/>
                <w:kern w:val="0"/>
                <w:szCs w:val="21"/>
                <w:lang w:eastAsia="zh-Hans"/>
              </w:rPr>
              <w:t>3.安装调试的具体时间由采购人提前3天通知中标人，双方确认《安装条件确认书》中所列条件具备后实施安装。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tcPr>
          <w:p>
            <w:pPr>
              <w:widowControl/>
              <w:jc w:val="left"/>
              <w:rPr>
                <w:rFonts w:hint="eastAsia" w:ascii="宋体" w:hAnsi="宋体" w:eastAsia="宋体" w:cs="Times New Roman"/>
                <w:color w:val="auto"/>
                <w:kern w:val="0"/>
                <w:szCs w:val="21"/>
              </w:rPr>
            </w:pPr>
            <w:r>
              <w:rPr>
                <w:rFonts w:ascii="宋体" w:hAnsi="宋体" w:eastAsia="宋体" w:cs="Times New Roman"/>
                <w:color w:val="auto"/>
                <w:kern w:val="0"/>
                <w:szCs w:val="21"/>
              </w:rPr>
              <w:t>技术培训</w:t>
            </w:r>
          </w:p>
        </w:tc>
        <w:tc>
          <w:tcPr>
            <w:tcW w:w="6638" w:type="dxa"/>
          </w:tcPr>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投标人需提供完整的培训计划和方案，列明培训人员数量、达到的水平等，培训内容包括设备原理、操作、数据处理和维护保养的培训等，使用户达到独立操作水平，培训所需全部费用已包含在投标价中。</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tcPr>
          <w:p>
            <w:pPr>
              <w:widowControl/>
              <w:jc w:val="left"/>
              <w:rPr>
                <w:rFonts w:hint="eastAsia" w:ascii="宋体" w:hAnsi="宋体" w:eastAsia="宋体" w:cs="Times New Roman"/>
                <w:color w:val="auto"/>
                <w:kern w:val="0"/>
                <w:szCs w:val="21"/>
              </w:rPr>
            </w:pPr>
            <w:r>
              <w:rPr>
                <w:rFonts w:ascii="宋体" w:hAnsi="宋体" w:eastAsia="宋体" w:cs="Times New Roman"/>
                <w:color w:val="auto"/>
                <w:kern w:val="0"/>
                <w:szCs w:val="21"/>
              </w:rPr>
              <w:t>质量保证期</w:t>
            </w:r>
          </w:p>
        </w:tc>
        <w:tc>
          <w:tcPr>
            <w:tcW w:w="6638" w:type="dxa"/>
          </w:tcPr>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以货物到达采购人指定地点作为交货之日，以开箱验收单上到货日期为准；以《技术验收单》最后签字之日作为货物验收合格之日，开始计算质保期。</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1.质量保证期：设备验收合格后 ≥1 年。质量保证期内，如出现质量问题，中标人承担因此所造成的所有费用。质量保证期满后，中标人承诺以最优价格提供终身有偿维修服务。在质量保证期内设备如果出现问题，中标人应在接到用户要求24小时内给予响应，一般问题应在48小时内解决，重大问题或其他无法迅速解决的问题应在一周内解决或提出明确解决方案。</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2.质量保证期自双方在货物的技术验收单上签字且加盖公章之日起计算。质量保证期内中标人对所供货物实行包修、包换、包退、包维护保养，质量保证期后设备维修配件更换只收取成本费用。质保期后中标人应对设备提供终身优惠的技术服务和备件供应。</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3.质量保证期内，如设备或零部件因非人为因素出现故障而造成短期停用时，则质量保证期相应顺延。如停用时间累计超过60天则质量保证期重新计算。</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4.在质量保证期内，如货品非因采购人的人为原因而出现的问题由中标人负责保修、包换或包退，并承担修理、调换或退货的实际费用。</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5.质量保证期内，中标人负责对其提供的货物整机进行维修和系统维护，不再收取任何费用，但非中标人责任的人为因素、自然因素（如火灾、雷击等）造成的故障除外。</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6.质量保证期间，同一硬件一个月内连续2次出现同一故障，中标人须无偿更换同一档次货物。</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7.质量保证期内或质量保证期外在不涉及仪器硬件升级的条件下，中标人提供软件升级服务，所需费用包含在报价中，质保期后设备维修对配件更换只收取成本费用，服务费按最优价格收取。质保期内出现技术标准更新的，投标人应免费提供新版技术资料并负责相应升级改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tcPr>
          <w:p>
            <w:pPr>
              <w:widowControl/>
              <w:jc w:val="left"/>
              <w:rPr>
                <w:rFonts w:hint="eastAsia" w:ascii="宋体" w:hAnsi="宋体" w:eastAsia="宋体" w:cs="Times New Roman"/>
                <w:color w:val="auto"/>
                <w:kern w:val="0"/>
                <w:szCs w:val="21"/>
              </w:rPr>
            </w:pPr>
            <w:r>
              <w:rPr>
                <w:rFonts w:ascii="宋体" w:hAnsi="宋体" w:eastAsia="宋体" w:cs="Times New Roman"/>
                <w:color w:val="auto"/>
                <w:kern w:val="0"/>
                <w:szCs w:val="21"/>
              </w:rPr>
              <w:t>不可抗力</w:t>
            </w:r>
          </w:p>
        </w:tc>
        <w:tc>
          <w:tcPr>
            <w:tcW w:w="6638" w:type="dxa"/>
          </w:tcPr>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1.“不可抗力”系指在缔结合同时无法预见、在执行合同中无法避免、无法控制、不能克服的客观情况，这些事件包括但不限于：洪水、火灾、地震、罢工、战争、流行病、防疫限制和禁运等。</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2.遭受不可抗力事件的一方应在事件发生后 48 小时内将事件情况用可能的最快捷的方式通知对方本合同有关事项不能履行以避免对方损失的扩大，在该不可抗力事件发生之日起的 15日内给对方寄送一份由国家机关出具的不可抗力的事件证明书，并以书面报告说明该事件的细节和不能履行或部分不能履行或延迟履行本合同的事因后，由合同三方协商确定是否延期履行、部分履行或解除合同，遭受不可抗力的一方根据情况可部分或全部免于承担违约或赔偿责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tcPr>
          <w:p>
            <w:pPr>
              <w:widowControl/>
              <w:jc w:val="left"/>
              <w:rPr>
                <w:rFonts w:hint="eastAsia" w:ascii="宋体" w:hAnsi="宋体" w:eastAsia="宋体" w:cs="Times New Roman"/>
                <w:color w:val="auto"/>
                <w:kern w:val="0"/>
                <w:szCs w:val="21"/>
              </w:rPr>
            </w:pPr>
            <w:r>
              <w:rPr>
                <w:rFonts w:ascii="宋体" w:hAnsi="宋体" w:eastAsia="宋体" w:cs="Times New Roman"/>
                <w:color w:val="auto"/>
                <w:kern w:val="0"/>
                <w:szCs w:val="21"/>
              </w:rPr>
              <w:t>违约责任与赔偿损失</w:t>
            </w:r>
          </w:p>
        </w:tc>
        <w:tc>
          <w:tcPr>
            <w:tcW w:w="6638" w:type="dxa"/>
          </w:tcPr>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1.本合同项下货物视为整体，货物的任何部分迟延交付，违约金均应以合同总价作基数计算，即使其对本合同货物的安装、验收、使用等不构成任何影响。</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2.如果投标人未能按合同约定按时交付货物/服务/配套资料或未能按合同约定按时安装调试的，除本招标文件规定的不可抗力原因外，投标人同意向采购人支付延迟交货违约金，采购人同意延期收货，同时并不免除投标人的交货义务。违约金比例为每7日千分之五，不足7天以7天计，但不超过迟交货物总值的百分之五。采购人有权直接从应付给中标人的合同款项中扣除该违约金。若逾期交货超过4周，采购人有权选择单方解除合同，相关违约损失由投标人承担。如信用证付款方式，则投标人同意违约金由议付行在议付验收款中扣除。如果由于采购人原因导致延迟交货违约的发生，则中标人免责。</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3.如采购人无正当理由拒收货物，应向中标人支付拒收货物金额百分之三的违约金。</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4.采购人应按合同约定支付货款，不得拒付、拖欠，否则因延期付款产生的后果由采购人承担。如采购人无正当理由自验收合格之日起超60日逾期付款的，每逾期一天应计付应付而未付价款的万分之三的违约金，最高不超过相应价款的百分之五。</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5.有下列情形之一，采购人有权解除合同，中标人需在合同解除之日起10个工作日内，退还采购人所支付全部合同款项，并按合同总价的百分之五向采购人支付违约金：</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（1）中标人逾期交付关键货物超过4周或其他货物/服务/配套资料超过10周；</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（2）中标人在本合同项下提供的货物/服务/配套资料有权利瑕疵，货物被依法查处、查封、罚没的，或因权利瑕疵导致采购人无法实现合同目的、遭受第三方追责的；</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（3）提供的货物/服务/配套资料不符合本合同规定的。</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6.投标人</w:t>
            </w:r>
            <w:r>
              <w:rPr>
                <w:rFonts w:ascii="宋体" w:hAnsi="宋体" w:eastAsia="宋体" w:cs="Times New Roman"/>
                <w:color w:val="auto"/>
                <w:kern w:val="0"/>
                <w:szCs w:val="21"/>
              </w:rPr>
              <w:t>在规定时间内</w:t>
            </w:r>
            <w:r>
              <w:rPr>
                <w:rFonts w:ascii="宋体" w:hAnsi="宋体" w:eastAsia="宋体" w:cs="Times New Roman"/>
                <w:color w:val="auto"/>
                <w:kern w:val="0"/>
                <w:szCs w:val="21"/>
                <w:lang w:eastAsia="zh-Hans"/>
              </w:rPr>
              <w:t>拒绝</w:t>
            </w:r>
            <w:r>
              <w:rPr>
                <w:rFonts w:ascii="宋体" w:hAnsi="宋体" w:eastAsia="宋体" w:cs="Times New Roman"/>
                <w:color w:val="auto"/>
                <w:kern w:val="0"/>
                <w:szCs w:val="21"/>
              </w:rPr>
              <w:t>与采购人</w:t>
            </w:r>
            <w:r>
              <w:rPr>
                <w:rFonts w:ascii="宋体" w:hAnsi="宋体" w:eastAsia="宋体" w:cs="Times New Roman"/>
                <w:color w:val="auto"/>
                <w:kern w:val="0"/>
                <w:szCs w:val="21"/>
                <w:lang w:eastAsia="zh-Hans"/>
              </w:rPr>
              <w:t>签订正式书面合同的，采购人有权按中标金额总价的百分之五向投标人要求支付违约金。</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7.合同款项的支付完毕并不意味着合同权利义务履行的结束，投标人仍需按合同要求做好质量保证及售后服务工作，如投标人违反合同相关规定，需缴纳违约金，违约金金额为合同总额的百分之五，投标人需在违约行为发生之日起三日内向采购人支付违约金。</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8.除不可抗力原因外，任何一方如造成合同无法继续履行时，应尽早通知其他两方，并商议签署合同终止协议，责任方需赔偿对方由此造成的全部经济损失。</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9.采购人中标人双方承诺本合同内容及采购人科研数据、技术参数等商业秘密不得向第三方透露，双方均负有为对方保密的义务。双方签订的技术协议与合同具有同等法律效力。如违反保密义务的，违约方须向守约方支付违约赔偿金，金额以实际损失为基础，不超过合同总额双倍。若违约金明显高于实际损失，守约方有权请求适当减少。</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10.合同任何一方如严重违反合同条款，则其他方有权终止合同。</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11.</w:t>
            </w:r>
            <w:r>
              <w:rPr>
                <w:rFonts w:ascii="宋体" w:hAnsi="宋体" w:eastAsia="宋体" w:cs="Times New Roman"/>
                <w:color w:val="auto"/>
                <w:kern w:val="0"/>
                <w:szCs w:val="21"/>
                <w:lang w:eastAsia="zh-Hans"/>
              </w:rPr>
              <w:tab/>
            </w:r>
            <w:r>
              <w:rPr>
                <w:rFonts w:ascii="宋体" w:hAnsi="宋体" w:eastAsia="宋体" w:cs="Times New Roman"/>
                <w:color w:val="auto"/>
                <w:kern w:val="0"/>
                <w:szCs w:val="21"/>
                <w:lang w:eastAsia="zh-Hans"/>
              </w:rPr>
              <w:t>其它违约责任按《中华人民共和国民法典》处理。中标人如因违约导致采购人遭受损失的，采购人有权从应付款项中直接扣除相关赔偿金额。采购人有权依据政府采购相关规定对中标人不良行为进行记录并向有关部门报告。</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12.设备涉及数据采集功能的，中标人应提供数据本地化存储方案，不得预设任何境外数据传输通道。</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tcPr>
          <w:p>
            <w:pPr>
              <w:widowControl/>
              <w:jc w:val="left"/>
              <w:rPr>
                <w:rFonts w:hint="eastAsia" w:ascii="宋体" w:hAnsi="宋体" w:eastAsia="宋体" w:cs="Times New Roman"/>
                <w:color w:val="auto"/>
                <w:kern w:val="0"/>
                <w:szCs w:val="21"/>
              </w:rPr>
            </w:pPr>
            <w:r>
              <w:rPr>
                <w:rFonts w:ascii="宋体" w:hAnsi="宋体" w:eastAsia="宋体" w:cs="Times New Roman"/>
                <w:color w:val="auto"/>
                <w:kern w:val="0"/>
                <w:szCs w:val="21"/>
              </w:rPr>
              <w:t>知识产权</w:t>
            </w:r>
          </w:p>
        </w:tc>
        <w:tc>
          <w:tcPr>
            <w:tcW w:w="6638" w:type="dxa"/>
          </w:tcPr>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1.中标人应保证向采购人销售的本采购合同项下的货物或其任何部分不侵犯任何第三方知识产权，并保证采购人购买和正常使用货物过程中免受第三方就知识产权侵权提出的任何纠纷、制裁、索赔或起诉。</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2.采购人不对中标人提供的货物是否侵犯他人权利负责，如因中标人提供的货物因任何知识产权问题给采购人造成损失的，无论是执行合同期间或合同到期后的任何时间，中标人均应负责解决纠纷,并按采购人损失金额的1.5倍进行赔偿。</w:t>
            </w:r>
          </w:p>
          <w:p>
            <w:pPr>
              <w:widowControl/>
              <w:jc w:val="left"/>
              <w:rPr>
                <w:rFonts w:hint="eastAsia" w:ascii="宋体" w:hAnsi="宋体" w:eastAsia="宋体" w:cs="Times New Roman"/>
                <w:color w:val="auto"/>
                <w:kern w:val="0"/>
                <w:szCs w:val="21"/>
                <w:lang w:eastAsia="zh-Hans"/>
              </w:rPr>
            </w:pPr>
            <w:r>
              <w:rPr>
                <w:rFonts w:ascii="宋体" w:hAnsi="宋体" w:eastAsia="宋体" w:cs="Times New Roman"/>
                <w:color w:val="auto"/>
                <w:kern w:val="0"/>
                <w:szCs w:val="21"/>
                <w:lang w:eastAsia="zh-Hans"/>
              </w:rPr>
              <w:t>3.对于货物的知识产权非中标人所有的，中标人应于签约前向采购人提供货物的正规销售授权文件。授权文件应真实、合法、有效，且授权范围覆盖本合同项下全部货物及服务。</w:t>
            </w:r>
          </w:p>
        </w:tc>
      </w:tr>
    </w:tbl>
    <w:p>
      <w:pPr>
        <w:spacing w:line="360" w:lineRule="auto"/>
        <w:rPr>
          <w:rFonts w:hint="eastAsia" w:ascii="宋体" w:hAnsi="宋体" w:eastAsia="宋体" w:cs="宋体"/>
          <w:b/>
          <w:bCs/>
          <w:color w:val="auto"/>
          <w:szCs w:val="21"/>
        </w:rPr>
      </w:pPr>
    </w:p>
    <w:p>
      <w:pPr>
        <w:spacing w:line="360" w:lineRule="auto"/>
        <w:rPr>
          <w:rFonts w:hint="eastAsia" w:ascii="宋体" w:hAnsi="宋体" w:eastAsia="宋体" w:cs="宋体"/>
          <w:b/>
          <w:bCs/>
          <w:color w:val="auto"/>
          <w:szCs w:val="21"/>
        </w:rPr>
        <w:sectPr>
          <w:pgSz w:w="11906" w:h="16838"/>
          <w:pgMar w:top="1440" w:right="1800" w:bottom="1440" w:left="1800" w:header="851" w:footer="992" w:gutter="0"/>
          <w:cols w:space="425" w:num="1"/>
          <w:docGrid w:type="lines" w:linePitch="312" w:charSpace="0"/>
        </w:sectPr>
      </w:pPr>
    </w:p>
    <w:p>
      <w:pPr>
        <w:rPr>
          <w:color w:val="auto"/>
          <w:sz w:val="72"/>
          <w:szCs w:val="72"/>
        </w:rPr>
      </w:pPr>
    </w:p>
    <w:p>
      <w:pPr>
        <w:rPr>
          <w:color w:val="auto"/>
          <w:sz w:val="72"/>
          <w:szCs w:val="72"/>
        </w:rPr>
      </w:pPr>
    </w:p>
    <w:p>
      <w:pPr>
        <w:rPr>
          <w:color w:val="auto"/>
          <w:sz w:val="72"/>
          <w:szCs w:val="72"/>
        </w:rPr>
      </w:pPr>
    </w:p>
    <w:p>
      <w:pPr>
        <w:rPr>
          <w:color w:val="auto"/>
          <w:sz w:val="72"/>
          <w:szCs w:val="72"/>
        </w:rPr>
      </w:pPr>
    </w:p>
    <w:p>
      <w:pPr>
        <w:rPr>
          <w:color w:val="auto"/>
          <w:sz w:val="72"/>
          <w:szCs w:val="72"/>
        </w:rPr>
      </w:pPr>
    </w:p>
    <w:p>
      <w:pPr>
        <w:rPr>
          <w:color w:val="auto"/>
          <w:sz w:val="72"/>
          <w:szCs w:val="72"/>
        </w:rPr>
      </w:pPr>
    </w:p>
    <w:p>
      <w:pPr>
        <w:pStyle w:val="2"/>
        <w:numPr>
          <w:ilvl w:val="0"/>
          <w:numId w:val="5"/>
        </w:numPr>
        <w:jc w:val="center"/>
        <w:rPr>
          <w:color w:val="auto"/>
          <w:sz w:val="52"/>
        </w:rPr>
      </w:pPr>
      <w:bookmarkStart w:id="16" w:name="_Toc116987909"/>
      <w:bookmarkStart w:id="17" w:name="_Toc116988315"/>
      <w:bookmarkStart w:id="18" w:name="_Toc116987818"/>
      <w:bookmarkStart w:id="19" w:name="_Toc116987982"/>
      <w:r>
        <w:rPr>
          <w:rFonts w:hint="eastAsia"/>
          <w:color w:val="auto"/>
          <w:sz w:val="52"/>
        </w:rPr>
        <w:t xml:space="preserve"> 需求调查反馈</w:t>
      </w:r>
      <w:bookmarkEnd w:id="16"/>
      <w:bookmarkEnd w:id="17"/>
      <w:bookmarkEnd w:id="18"/>
      <w:bookmarkEnd w:id="19"/>
      <w:r>
        <w:rPr>
          <w:rFonts w:hint="eastAsia"/>
          <w:color w:val="auto"/>
          <w:sz w:val="52"/>
        </w:rPr>
        <w:t>表</w:t>
      </w:r>
    </w:p>
    <w:p>
      <w:pPr>
        <w:rPr>
          <w:color w:val="auto"/>
        </w:rPr>
      </w:pPr>
    </w:p>
    <w:p>
      <w:pPr>
        <w:rPr>
          <w:color w:val="auto"/>
        </w:rPr>
        <w:sectPr>
          <w:pgSz w:w="11906" w:h="16838"/>
          <w:pgMar w:top="1440" w:right="1800" w:bottom="1440" w:left="1800" w:header="851" w:footer="992" w:gutter="0"/>
          <w:cols w:space="425" w:num="1"/>
          <w:docGrid w:type="lines" w:linePitch="312" w:charSpace="0"/>
        </w:sectPr>
      </w:pPr>
    </w:p>
    <w:p>
      <w:pPr>
        <w:spacing w:line="360" w:lineRule="auto"/>
        <w:jc w:val="center"/>
        <w:outlineLvl w:val="1"/>
        <w:rPr>
          <w:rFonts w:ascii="Times New Roman" w:hAnsi="Times New Roman" w:eastAsia="宋体" w:cs="宋体"/>
          <w:b/>
          <w:color w:val="auto"/>
          <w:sz w:val="28"/>
          <w:szCs w:val="30"/>
        </w:rPr>
      </w:pPr>
      <w:bookmarkStart w:id="20" w:name="_Toc116987910"/>
      <w:bookmarkStart w:id="21" w:name="_Toc116988034"/>
      <w:r>
        <w:rPr>
          <w:rFonts w:hint="eastAsia" w:ascii="Times New Roman" w:hAnsi="Times New Roman" w:eastAsia="宋体" w:cs="宋体"/>
          <w:b/>
          <w:color w:val="auto"/>
          <w:sz w:val="28"/>
          <w:szCs w:val="30"/>
        </w:rPr>
        <w:t>需求调查反馈表</w:t>
      </w:r>
      <w:bookmarkEnd w:id="20"/>
      <w:bookmarkEnd w:id="21"/>
    </w:p>
    <w:p>
      <w:pPr>
        <w:spacing w:line="360" w:lineRule="auto"/>
        <w:jc w:val="left"/>
        <w:outlineLvl w:val="2"/>
        <w:rPr>
          <w:rFonts w:ascii="Times New Roman" w:hAnsi="Times New Roman" w:eastAsia="宋体" w:cs="宋体"/>
          <w:b/>
          <w:bCs/>
          <w:color w:val="auto"/>
          <w:szCs w:val="21"/>
        </w:rPr>
      </w:pPr>
      <w:bookmarkStart w:id="22" w:name="_Toc116987911"/>
      <w:bookmarkStart w:id="23" w:name="_Toc116988035"/>
      <w:r>
        <w:rPr>
          <w:rFonts w:hint="eastAsia" w:ascii="Times New Roman" w:hAnsi="Times New Roman" w:eastAsia="宋体" w:cs="宋体"/>
          <w:b/>
          <w:bCs/>
          <w:color w:val="auto"/>
          <w:szCs w:val="21"/>
        </w:rPr>
        <w:t>一、反馈供应商基本情况</w:t>
      </w:r>
      <w:bookmarkEnd w:id="22"/>
      <w:bookmarkEnd w:id="23"/>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4"/>
        <w:gridCol w:w="6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311" w:type="pct"/>
            <w:vAlign w:val="center"/>
          </w:tcPr>
          <w:p>
            <w:pPr>
              <w:spacing w:line="360" w:lineRule="auto"/>
              <w:jc w:val="center"/>
              <w:rPr>
                <w:rFonts w:hint="eastAsia" w:eastAsia="宋体" w:cs="仿宋_GB2312" w:asciiTheme="minorEastAsia" w:hAnsiTheme="minorEastAsia"/>
                <w:b/>
                <w:bCs/>
                <w:color w:val="auto"/>
                <w:kern w:val="0"/>
                <w:szCs w:val="21"/>
              </w:rPr>
            </w:pPr>
            <w:bookmarkStart w:id="24" w:name="_Toc116987912"/>
            <w:bookmarkStart w:id="25" w:name="_Toc116988036"/>
            <w:r>
              <w:rPr>
                <w:rFonts w:eastAsia="宋体" w:cs="仿宋_GB2312" w:asciiTheme="minorEastAsia" w:hAnsiTheme="minorEastAsia"/>
                <w:b/>
                <w:bCs/>
                <w:color w:val="auto"/>
                <w:kern w:val="0"/>
                <w:szCs w:val="21"/>
              </w:rPr>
              <w:t>供应商名称</w:t>
            </w:r>
          </w:p>
        </w:tc>
        <w:tc>
          <w:tcPr>
            <w:tcW w:w="3689" w:type="pct"/>
          </w:tcPr>
          <w:p>
            <w:pPr>
              <w:spacing w:line="360" w:lineRule="auto"/>
              <w:jc w:val="center"/>
              <w:rPr>
                <w:rFonts w:hint="eastAsia" w:eastAsia="宋体" w:cs="仿宋_GB2312" w:asciiTheme="minorEastAsia" w:hAnsiTheme="minorEastAsia"/>
                <w:bCs/>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311" w:type="pct"/>
            <w:vAlign w:val="center"/>
          </w:tcPr>
          <w:p>
            <w:pPr>
              <w:spacing w:line="360" w:lineRule="auto"/>
              <w:jc w:val="center"/>
              <w:rPr>
                <w:rFonts w:hint="eastAsia" w:eastAsia="宋体" w:cs="仿宋_GB2312" w:asciiTheme="minorEastAsia" w:hAnsiTheme="minorEastAsia"/>
                <w:b/>
                <w:color w:val="auto"/>
                <w:kern w:val="0"/>
                <w:szCs w:val="21"/>
              </w:rPr>
            </w:pPr>
            <w:r>
              <w:rPr>
                <w:rFonts w:eastAsia="宋体" w:cs="仿宋_GB2312" w:asciiTheme="minorEastAsia" w:hAnsiTheme="minorEastAsia"/>
                <w:b/>
                <w:color w:val="auto"/>
                <w:kern w:val="0"/>
                <w:szCs w:val="21"/>
              </w:rPr>
              <w:t>供应商地址</w:t>
            </w:r>
          </w:p>
        </w:tc>
        <w:tc>
          <w:tcPr>
            <w:tcW w:w="3689" w:type="pct"/>
          </w:tcPr>
          <w:p>
            <w:pPr>
              <w:spacing w:line="360" w:lineRule="auto"/>
              <w:jc w:val="center"/>
              <w:rPr>
                <w:rFonts w:hint="eastAsia" w:eastAsia="宋体" w:cs="仿宋_GB2312" w:asciiTheme="minorEastAsia" w:hAnsiTheme="minorEastAsia"/>
                <w:bCs/>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311" w:type="pct"/>
            <w:vAlign w:val="center"/>
          </w:tcPr>
          <w:p>
            <w:pPr>
              <w:spacing w:line="360" w:lineRule="auto"/>
              <w:jc w:val="center"/>
              <w:rPr>
                <w:rFonts w:hint="eastAsia" w:eastAsia="宋体" w:cs="仿宋_GB2312" w:asciiTheme="minorEastAsia" w:hAnsiTheme="minorEastAsia"/>
                <w:b/>
                <w:color w:val="auto"/>
                <w:kern w:val="0"/>
                <w:szCs w:val="21"/>
              </w:rPr>
            </w:pPr>
            <w:r>
              <w:rPr>
                <w:rFonts w:hint="eastAsia" w:eastAsia="宋体" w:cs="仿宋_GB2312" w:asciiTheme="minorEastAsia" w:hAnsiTheme="minorEastAsia"/>
                <w:b/>
                <w:color w:val="auto"/>
                <w:kern w:val="0"/>
                <w:szCs w:val="21"/>
              </w:rPr>
              <w:t>联系人及联系电话</w:t>
            </w:r>
          </w:p>
        </w:tc>
        <w:tc>
          <w:tcPr>
            <w:tcW w:w="3689" w:type="pct"/>
          </w:tcPr>
          <w:p>
            <w:pPr>
              <w:spacing w:line="360" w:lineRule="auto"/>
              <w:jc w:val="center"/>
              <w:rPr>
                <w:rFonts w:hint="eastAsia" w:eastAsia="宋体" w:cs="仿宋_GB2312" w:asciiTheme="minorEastAsia" w:hAnsiTheme="minorEastAsia"/>
                <w:bCs/>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311" w:type="pct"/>
            <w:vAlign w:val="center"/>
          </w:tcPr>
          <w:p>
            <w:pPr>
              <w:spacing w:line="360" w:lineRule="auto"/>
              <w:jc w:val="center"/>
              <w:rPr>
                <w:rFonts w:hint="eastAsia" w:eastAsia="宋体" w:cs="仿宋_GB2312" w:asciiTheme="minorEastAsia" w:hAnsiTheme="minorEastAsia"/>
                <w:b/>
                <w:color w:val="auto"/>
                <w:kern w:val="0"/>
                <w:szCs w:val="21"/>
              </w:rPr>
            </w:pPr>
            <w:r>
              <w:rPr>
                <w:rFonts w:hint="eastAsia" w:eastAsia="宋体" w:cs="仿宋_GB2312" w:asciiTheme="minorEastAsia" w:hAnsiTheme="minorEastAsia"/>
                <w:b/>
                <w:color w:val="auto"/>
                <w:kern w:val="0"/>
                <w:szCs w:val="21"/>
              </w:rPr>
              <w:t>电子邮箱</w:t>
            </w:r>
          </w:p>
        </w:tc>
        <w:tc>
          <w:tcPr>
            <w:tcW w:w="3689" w:type="pct"/>
          </w:tcPr>
          <w:p>
            <w:pPr>
              <w:spacing w:line="360" w:lineRule="auto"/>
              <w:jc w:val="center"/>
              <w:rPr>
                <w:rFonts w:hint="eastAsia" w:eastAsia="宋体" w:cs="仿宋_GB2312" w:asciiTheme="minorEastAsia" w:hAnsiTheme="minorEastAsia"/>
                <w:bCs/>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311" w:type="pct"/>
            <w:vAlign w:val="center"/>
          </w:tcPr>
          <w:p>
            <w:pPr>
              <w:spacing w:line="360" w:lineRule="auto"/>
              <w:jc w:val="center"/>
              <w:rPr>
                <w:rFonts w:hint="eastAsia" w:eastAsia="宋体" w:cs="仿宋_GB2312" w:asciiTheme="minorEastAsia" w:hAnsiTheme="minorEastAsia"/>
                <w:b/>
                <w:bCs/>
                <w:color w:val="auto"/>
                <w:kern w:val="0"/>
                <w:szCs w:val="21"/>
              </w:rPr>
            </w:pPr>
            <w:r>
              <w:rPr>
                <w:rFonts w:eastAsia="宋体" w:cs="仿宋_GB2312" w:asciiTheme="minorEastAsia" w:hAnsiTheme="minorEastAsia"/>
                <w:b/>
                <w:bCs/>
                <w:color w:val="auto"/>
                <w:kern w:val="0"/>
                <w:szCs w:val="21"/>
              </w:rPr>
              <w:t>经营范围</w:t>
            </w:r>
          </w:p>
        </w:tc>
        <w:tc>
          <w:tcPr>
            <w:tcW w:w="3689" w:type="pct"/>
          </w:tcPr>
          <w:p>
            <w:pPr>
              <w:spacing w:line="360" w:lineRule="auto"/>
              <w:jc w:val="center"/>
              <w:rPr>
                <w:rFonts w:hint="eastAsia" w:eastAsia="宋体" w:cs="仿宋_GB2312" w:asciiTheme="minorEastAsia" w:hAnsiTheme="minorEastAsia"/>
                <w:bCs/>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4" w:hRule="atLeast"/>
        </w:trPr>
        <w:tc>
          <w:tcPr>
            <w:tcW w:w="1311" w:type="pct"/>
            <w:vAlign w:val="center"/>
          </w:tcPr>
          <w:p>
            <w:pPr>
              <w:spacing w:line="360" w:lineRule="auto"/>
              <w:jc w:val="center"/>
              <w:rPr>
                <w:rFonts w:hint="eastAsia" w:eastAsia="宋体" w:cs="仿宋_GB2312" w:asciiTheme="minorEastAsia" w:hAnsiTheme="minorEastAsia"/>
                <w:b/>
                <w:color w:val="auto"/>
                <w:kern w:val="0"/>
                <w:szCs w:val="21"/>
              </w:rPr>
            </w:pPr>
            <w:r>
              <w:rPr>
                <w:rFonts w:eastAsia="宋体" w:cs="仿宋_GB2312" w:asciiTheme="minorEastAsia" w:hAnsiTheme="minorEastAsia"/>
                <w:b/>
                <w:color w:val="auto"/>
                <w:kern w:val="0"/>
                <w:szCs w:val="21"/>
              </w:rPr>
              <w:t>从业人员数量</w:t>
            </w:r>
          </w:p>
        </w:tc>
        <w:tc>
          <w:tcPr>
            <w:tcW w:w="3689" w:type="pct"/>
          </w:tcPr>
          <w:p>
            <w:pPr>
              <w:spacing w:line="360" w:lineRule="auto"/>
              <w:jc w:val="center"/>
              <w:rPr>
                <w:rFonts w:hint="eastAsia" w:eastAsia="宋体" w:cs="仿宋_GB2312" w:asciiTheme="minorEastAsia" w:hAnsiTheme="minorEastAsia"/>
                <w:bCs/>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311" w:type="pct"/>
            <w:vAlign w:val="center"/>
          </w:tcPr>
          <w:p>
            <w:pPr>
              <w:spacing w:line="360" w:lineRule="auto"/>
              <w:jc w:val="center"/>
              <w:rPr>
                <w:rFonts w:hint="eastAsia" w:eastAsia="宋体" w:cs="仿宋_GB2312" w:asciiTheme="minorEastAsia" w:hAnsiTheme="minorEastAsia"/>
                <w:b/>
                <w:bCs/>
                <w:color w:val="auto"/>
                <w:kern w:val="0"/>
                <w:szCs w:val="21"/>
              </w:rPr>
            </w:pPr>
            <w:r>
              <w:rPr>
                <w:rFonts w:hint="eastAsia" w:eastAsia="宋体" w:cs="仿宋_GB2312" w:asciiTheme="minorEastAsia" w:hAnsiTheme="minorEastAsia"/>
                <w:b/>
                <w:bCs/>
                <w:color w:val="auto"/>
                <w:kern w:val="0"/>
                <w:szCs w:val="21"/>
              </w:rPr>
              <w:t>2024年度或2025年度营业收入</w:t>
            </w:r>
          </w:p>
        </w:tc>
        <w:tc>
          <w:tcPr>
            <w:tcW w:w="3689" w:type="pct"/>
          </w:tcPr>
          <w:p>
            <w:pPr>
              <w:spacing w:line="360" w:lineRule="auto"/>
              <w:jc w:val="center"/>
              <w:rPr>
                <w:rFonts w:hint="eastAsia" w:eastAsia="宋体" w:cs="仿宋_GB2312" w:asciiTheme="minorEastAsia" w:hAnsiTheme="minorEastAsia"/>
                <w:bCs/>
                <w:i/>
                <w:color w:val="auto"/>
                <w:kern w:val="0"/>
                <w:szCs w:val="21"/>
              </w:rPr>
            </w:pPr>
            <w:r>
              <w:rPr>
                <w:rFonts w:hint="eastAsia" w:ascii="仿宋" w:hAnsi="仿宋" w:eastAsia="仿宋" w:cs="宋体"/>
                <w:i/>
                <w:color w:val="auto"/>
                <w:kern w:val="0"/>
                <w:szCs w:val="21"/>
              </w:rPr>
              <w:t>（无上一年度数据的新成立企业可不填报。）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311" w:type="pct"/>
            <w:vAlign w:val="center"/>
          </w:tcPr>
          <w:p>
            <w:pPr>
              <w:spacing w:line="360" w:lineRule="auto"/>
              <w:jc w:val="center"/>
              <w:rPr>
                <w:rFonts w:hint="eastAsia" w:eastAsia="宋体" w:cs="仿宋_GB2312" w:asciiTheme="minorEastAsia" w:hAnsiTheme="minorEastAsia"/>
                <w:b/>
                <w:bCs/>
                <w:color w:val="auto"/>
                <w:kern w:val="0"/>
                <w:szCs w:val="21"/>
              </w:rPr>
            </w:pPr>
            <w:r>
              <w:rPr>
                <w:rFonts w:hint="eastAsia" w:eastAsia="宋体" w:cs="仿宋_GB2312" w:asciiTheme="minorEastAsia" w:hAnsiTheme="minorEastAsia"/>
                <w:b/>
                <w:bCs/>
                <w:color w:val="auto"/>
                <w:kern w:val="0"/>
                <w:szCs w:val="21"/>
              </w:rPr>
              <w:t>企业类别</w:t>
            </w:r>
          </w:p>
        </w:tc>
        <w:tc>
          <w:tcPr>
            <w:tcW w:w="3689" w:type="pct"/>
          </w:tcPr>
          <w:p>
            <w:pPr>
              <w:spacing w:line="360" w:lineRule="auto"/>
              <w:rPr>
                <w:rFonts w:hint="eastAsia" w:eastAsia="宋体" w:cs="仿宋_GB2312" w:asciiTheme="minorEastAsia" w:hAnsiTheme="minorEastAsia"/>
                <w:bCs/>
                <w:color w:val="auto"/>
                <w:kern w:val="0"/>
                <w:szCs w:val="21"/>
              </w:rPr>
            </w:pPr>
            <w:r>
              <w:rPr>
                <w:rFonts w:eastAsia="宋体" w:cs="仿宋_GB2312" w:asciiTheme="minorEastAsia" w:hAnsiTheme="minorEastAsia"/>
                <w:bCs/>
                <w:color w:val="auto"/>
                <w:kern w:val="0"/>
                <w:szCs w:val="21"/>
              </w:rPr>
              <w:t>对照中小企业划型标准规定</w:t>
            </w:r>
            <w:r>
              <w:rPr>
                <w:rFonts w:hint="eastAsia" w:eastAsia="宋体" w:cs="仿宋_GB2312" w:asciiTheme="minorEastAsia" w:hAnsiTheme="minorEastAsia"/>
                <w:bCs/>
                <w:color w:val="auto"/>
                <w:kern w:val="0"/>
                <w:szCs w:val="21"/>
              </w:rPr>
              <w:t>（</w:t>
            </w:r>
            <w:r>
              <w:rPr>
                <w:rFonts w:hint="eastAsia" w:eastAsia="宋体" w:cs="仿宋_GB2312" w:asciiTheme="minorEastAsia" w:hAnsiTheme="minorEastAsia"/>
                <w:b/>
                <w:bCs/>
                <w:color w:val="auto"/>
                <w:kern w:val="0"/>
                <w:szCs w:val="21"/>
                <w:u w:val="single"/>
              </w:rPr>
              <w:t>工业</w:t>
            </w:r>
            <w:r>
              <w:rPr>
                <w:rFonts w:hint="eastAsia" w:eastAsia="宋体" w:cs="仿宋_GB2312" w:asciiTheme="minorEastAsia" w:hAnsiTheme="minorEastAsia"/>
                <w:bCs/>
                <w:color w:val="auto"/>
                <w:kern w:val="0"/>
                <w:szCs w:val="21"/>
              </w:rPr>
              <w:t>）属于：</w:t>
            </w:r>
          </w:p>
          <w:p>
            <w:pPr>
              <w:spacing w:line="360" w:lineRule="auto"/>
              <w:rPr>
                <w:rFonts w:hint="eastAsia" w:ascii="宋体" w:hAnsi="宋体" w:eastAsia="宋体" w:cs="宋体"/>
                <w:b/>
                <w:color w:val="auto"/>
                <w:kern w:val="0"/>
                <w:szCs w:val="21"/>
              </w:rPr>
            </w:pPr>
            <w:r>
              <w:rPr>
                <w:rFonts w:hint="eastAsia" w:ascii="宋体" w:hAnsi="宋体" w:eastAsia="宋体" w:cs="宋体"/>
                <w:b/>
                <w:color w:val="auto"/>
                <w:kern w:val="0"/>
                <w:szCs w:val="21"/>
              </w:rPr>
              <w:sym w:font="Wingdings 2" w:char="F0A3"/>
            </w:r>
            <w:r>
              <w:rPr>
                <w:rFonts w:hint="eastAsia" w:ascii="宋体" w:hAnsi="宋体" w:eastAsia="宋体" w:cs="宋体"/>
                <w:b/>
                <w:color w:val="auto"/>
                <w:kern w:val="0"/>
                <w:szCs w:val="21"/>
              </w:rPr>
              <w:t xml:space="preserve">大型企业 </w:t>
            </w:r>
            <w:r>
              <w:rPr>
                <w:rFonts w:hint="eastAsia" w:ascii="宋体" w:hAnsi="宋体" w:eastAsia="宋体" w:cs="宋体"/>
                <w:b/>
                <w:color w:val="auto"/>
                <w:kern w:val="0"/>
                <w:szCs w:val="21"/>
              </w:rPr>
              <w:sym w:font="Wingdings 2" w:char="F0A3"/>
            </w:r>
            <w:r>
              <w:rPr>
                <w:rFonts w:hint="eastAsia" w:ascii="宋体" w:hAnsi="宋体" w:eastAsia="宋体" w:cs="宋体"/>
                <w:b/>
                <w:color w:val="auto"/>
                <w:kern w:val="0"/>
                <w:szCs w:val="21"/>
              </w:rPr>
              <w:t xml:space="preserve">中型企业 </w:t>
            </w:r>
            <w:r>
              <w:rPr>
                <w:rFonts w:hint="eastAsia" w:ascii="宋体" w:hAnsi="宋体" w:eastAsia="宋体" w:cs="宋体"/>
                <w:b/>
                <w:color w:val="auto"/>
                <w:kern w:val="0"/>
                <w:szCs w:val="21"/>
              </w:rPr>
              <w:sym w:font="Wingdings 2" w:char="F0A3"/>
            </w:r>
            <w:r>
              <w:rPr>
                <w:rFonts w:hint="eastAsia" w:ascii="宋体" w:hAnsi="宋体" w:eastAsia="宋体" w:cs="宋体"/>
                <w:b/>
                <w:color w:val="auto"/>
                <w:kern w:val="0"/>
                <w:szCs w:val="21"/>
              </w:rPr>
              <w:t xml:space="preserve">小型企业 </w:t>
            </w:r>
            <w:r>
              <w:rPr>
                <w:rFonts w:hint="eastAsia" w:ascii="宋体" w:hAnsi="宋体" w:eastAsia="宋体" w:cs="宋体"/>
                <w:b/>
                <w:color w:val="auto"/>
                <w:kern w:val="0"/>
                <w:szCs w:val="21"/>
              </w:rPr>
              <w:sym w:font="Wingdings 2" w:char="F0A3"/>
            </w:r>
            <w:r>
              <w:rPr>
                <w:rFonts w:hint="eastAsia" w:ascii="宋体" w:hAnsi="宋体" w:eastAsia="宋体" w:cs="宋体"/>
                <w:b/>
                <w:color w:val="auto"/>
                <w:kern w:val="0"/>
                <w:szCs w:val="21"/>
              </w:rPr>
              <w:t xml:space="preserve">微型企业 </w:t>
            </w:r>
            <w:r>
              <w:rPr>
                <w:rFonts w:hint="eastAsia" w:ascii="宋体" w:hAnsi="宋体" w:eastAsia="宋体" w:cs="宋体"/>
                <w:b/>
                <w:color w:val="auto"/>
                <w:kern w:val="0"/>
                <w:szCs w:val="21"/>
              </w:rPr>
              <w:sym w:font="Wingdings 2" w:char="F0A3"/>
            </w:r>
            <w:r>
              <w:rPr>
                <w:rFonts w:hint="eastAsia" w:ascii="宋体" w:hAnsi="宋体" w:eastAsia="宋体" w:cs="宋体"/>
                <w:b/>
                <w:color w:val="auto"/>
                <w:kern w:val="0"/>
                <w:szCs w:val="21"/>
              </w:rPr>
              <w:t>民办非企业</w:t>
            </w:r>
          </w:p>
          <w:p>
            <w:pPr>
              <w:spacing w:line="360" w:lineRule="auto"/>
              <w:rPr>
                <w:rFonts w:hint="eastAsia" w:eastAsia="宋体" w:cs="仿宋_GB2312" w:asciiTheme="minorEastAsia" w:hAnsiTheme="minorEastAsia"/>
                <w:bCs/>
                <w:i/>
                <w:color w:val="auto"/>
                <w:kern w:val="0"/>
                <w:szCs w:val="21"/>
              </w:rPr>
            </w:pPr>
            <w:r>
              <w:rPr>
                <w:rFonts w:hint="eastAsia" w:ascii="宋体" w:hAnsi="宋体" w:eastAsia="宋体" w:cs="宋体"/>
                <w:i/>
                <w:color w:val="auto"/>
                <w:kern w:val="0"/>
                <w:szCs w:val="21"/>
              </w:rPr>
              <w:t>注：从业人员300人以下的为中小微型企业。其中从业人员100人及以上的为中型企业，从业人员10人及以上的为小型企业，从业人员10人以下的为微型企业。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311" w:type="pct"/>
            <w:vAlign w:val="center"/>
          </w:tcPr>
          <w:p>
            <w:pPr>
              <w:spacing w:line="360" w:lineRule="auto"/>
              <w:jc w:val="center"/>
              <w:rPr>
                <w:rFonts w:hint="eastAsia" w:eastAsia="宋体" w:cs="仿宋_GB2312" w:asciiTheme="minorEastAsia" w:hAnsiTheme="minorEastAsia"/>
                <w:b/>
                <w:bCs/>
                <w:color w:val="auto"/>
                <w:kern w:val="0"/>
                <w:sz w:val="20"/>
                <w:szCs w:val="21"/>
              </w:rPr>
            </w:pPr>
            <w:r>
              <w:rPr>
                <w:rFonts w:hint="eastAsia" w:eastAsia="宋体" w:cs="仿宋_GB2312" w:asciiTheme="minorEastAsia" w:hAnsiTheme="minorEastAsia"/>
                <w:b/>
                <w:bCs/>
                <w:color w:val="auto"/>
                <w:kern w:val="0"/>
                <w:sz w:val="20"/>
                <w:szCs w:val="21"/>
              </w:rPr>
              <w:t>企业认证</w:t>
            </w:r>
          </w:p>
        </w:tc>
        <w:tc>
          <w:tcPr>
            <w:tcW w:w="3689" w:type="pct"/>
          </w:tcPr>
          <w:p>
            <w:pPr>
              <w:spacing w:line="360" w:lineRule="auto"/>
              <w:rPr>
                <w:rFonts w:hint="eastAsia" w:eastAsia="宋体" w:cs="仿宋_GB2312" w:asciiTheme="minorEastAsia" w:hAnsiTheme="minorEastAsia"/>
                <w:bCs/>
                <w:i/>
                <w:color w:val="auto"/>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311" w:type="pct"/>
            <w:vAlign w:val="center"/>
          </w:tcPr>
          <w:p>
            <w:pPr>
              <w:spacing w:line="360" w:lineRule="auto"/>
              <w:jc w:val="center"/>
              <w:rPr>
                <w:rFonts w:hint="eastAsia" w:eastAsia="宋体" w:cs="仿宋_GB2312" w:asciiTheme="minorEastAsia" w:hAnsiTheme="minorEastAsia"/>
                <w:b/>
                <w:bCs/>
                <w:color w:val="auto"/>
                <w:kern w:val="0"/>
                <w:sz w:val="20"/>
                <w:szCs w:val="21"/>
              </w:rPr>
            </w:pPr>
            <w:r>
              <w:rPr>
                <w:rFonts w:hint="eastAsia" w:eastAsia="宋体" w:cs="仿宋_GB2312" w:asciiTheme="minorEastAsia" w:hAnsiTheme="minorEastAsia"/>
                <w:b/>
                <w:bCs/>
                <w:color w:val="auto"/>
                <w:kern w:val="0"/>
                <w:sz w:val="20"/>
                <w:szCs w:val="21"/>
              </w:rPr>
              <w:t>拟投入团队人员情况</w:t>
            </w:r>
          </w:p>
        </w:tc>
        <w:tc>
          <w:tcPr>
            <w:tcW w:w="3689" w:type="pct"/>
          </w:tcPr>
          <w:p>
            <w:pPr>
              <w:spacing w:line="360" w:lineRule="auto"/>
              <w:rPr>
                <w:rFonts w:hint="eastAsia" w:eastAsia="宋体" w:cs="仿宋_GB2312" w:asciiTheme="minorEastAsia" w:hAnsiTheme="minorEastAsia"/>
                <w:bCs/>
                <w:i/>
                <w:color w:val="auto"/>
                <w:kern w:val="0"/>
                <w:sz w:val="20"/>
                <w:szCs w:val="21"/>
              </w:rPr>
            </w:pPr>
          </w:p>
        </w:tc>
      </w:tr>
    </w:tbl>
    <w:p>
      <w:pPr>
        <w:spacing w:before="312" w:beforeLines="100" w:line="360" w:lineRule="auto"/>
        <w:jc w:val="left"/>
        <w:outlineLvl w:val="2"/>
        <w:rPr>
          <w:rFonts w:ascii="Times New Roman" w:hAnsi="Times New Roman" w:eastAsia="宋体" w:cs="宋体"/>
          <w:b/>
          <w:bCs/>
          <w:color w:val="auto"/>
          <w:szCs w:val="21"/>
        </w:rPr>
      </w:pPr>
      <w:r>
        <w:rPr>
          <w:rFonts w:hint="eastAsia" w:ascii="Times New Roman" w:hAnsi="Times New Roman" w:eastAsia="宋体" w:cs="宋体"/>
          <w:b/>
          <w:bCs/>
          <w:color w:val="auto"/>
          <w:szCs w:val="21"/>
        </w:rPr>
        <w:t>二、企业资质情况</w:t>
      </w:r>
      <w:bookmarkEnd w:id="24"/>
      <w:bookmarkEnd w:id="25"/>
    </w:p>
    <w:tbl>
      <w:tblPr>
        <w:tblStyle w:val="29"/>
        <w:tblW w:w="8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0"/>
        <w:gridCol w:w="5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2330" w:type="dxa"/>
            <w:vMerge w:val="restart"/>
            <w:vAlign w:val="center"/>
          </w:tcPr>
          <w:p>
            <w:pPr>
              <w:spacing w:line="440" w:lineRule="exact"/>
              <w:jc w:val="center"/>
              <w:rPr>
                <w:rFonts w:hint="eastAsia" w:eastAsia="宋体" w:cs="仿宋_GB2312" w:asciiTheme="minorEastAsia" w:hAnsiTheme="minorEastAsia"/>
                <w:b/>
                <w:bCs/>
                <w:color w:val="auto"/>
                <w:kern w:val="0"/>
                <w:szCs w:val="21"/>
              </w:rPr>
            </w:pPr>
            <w:bookmarkStart w:id="26" w:name="_Toc116987913"/>
            <w:bookmarkStart w:id="27" w:name="_Toc116988037"/>
            <w:r>
              <w:rPr>
                <w:rFonts w:hint="eastAsia" w:eastAsia="宋体" w:cs="仿宋_GB2312" w:asciiTheme="minorEastAsia" w:hAnsiTheme="minorEastAsia"/>
                <w:b/>
                <w:bCs/>
                <w:color w:val="auto"/>
                <w:kern w:val="0"/>
                <w:szCs w:val="21"/>
              </w:rPr>
              <w:t>资格要求</w:t>
            </w:r>
          </w:p>
        </w:tc>
        <w:tc>
          <w:tcPr>
            <w:tcW w:w="5953" w:type="dxa"/>
            <w:vAlign w:val="center"/>
          </w:tcPr>
          <w:p>
            <w:pPr>
              <w:spacing w:line="440" w:lineRule="exact"/>
              <w:jc w:val="left"/>
              <w:rPr>
                <w:rFonts w:hint="eastAsia" w:ascii="宋体" w:hAnsi="宋体" w:eastAsia="宋体" w:cs="宋体"/>
                <w:i/>
                <w:color w:val="auto"/>
                <w:kern w:val="0"/>
                <w:szCs w:val="21"/>
              </w:rPr>
            </w:pPr>
            <w:r>
              <w:rPr>
                <w:rFonts w:hint="eastAsia" w:ascii="宋体" w:hAnsi="宋体" w:eastAsia="宋体" w:cs="宋体"/>
                <w:i/>
                <w:color w:val="auto"/>
                <w:kern w:val="0"/>
                <w:szCs w:val="21"/>
              </w:rPr>
              <w:t>具有独立承担民事责任的能力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2330" w:type="dxa"/>
            <w:vMerge w:val="continue"/>
            <w:vAlign w:val="center"/>
          </w:tcPr>
          <w:p>
            <w:pPr>
              <w:spacing w:line="440" w:lineRule="exact"/>
              <w:jc w:val="center"/>
              <w:rPr>
                <w:rFonts w:hint="eastAsia" w:eastAsia="宋体" w:cs="仿宋_GB2312" w:asciiTheme="minorEastAsia" w:hAnsiTheme="minorEastAsia"/>
                <w:b/>
                <w:bCs/>
                <w:color w:val="auto"/>
                <w:kern w:val="0"/>
                <w:szCs w:val="21"/>
              </w:rPr>
            </w:pPr>
          </w:p>
        </w:tc>
        <w:tc>
          <w:tcPr>
            <w:tcW w:w="5953" w:type="dxa"/>
            <w:vAlign w:val="center"/>
          </w:tcPr>
          <w:p>
            <w:pPr>
              <w:spacing w:line="440" w:lineRule="exact"/>
              <w:jc w:val="left"/>
              <w:rPr>
                <w:rFonts w:hint="eastAsia" w:ascii="宋体" w:hAnsi="宋体" w:eastAsia="宋体" w:cs="宋体"/>
                <w:i/>
                <w:color w:val="auto"/>
                <w:kern w:val="0"/>
                <w:szCs w:val="21"/>
              </w:rPr>
            </w:pPr>
            <w:r>
              <w:rPr>
                <w:rFonts w:hint="eastAsia" w:ascii="宋体" w:hAnsi="宋体" w:eastAsia="宋体" w:cs="宋体"/>
                <w:i/>
                <w:color w:val="auto"/>
                <w:kern w:val="0"/>
                <w:szCs w:val="21"/>
              </w:rPr>
              <w:t>有依法缴纳税收和社会保障资金的良好记录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2330" w:type="dxa"/>
            <w:vMerge w:val="continue"/>
            <w:vAlign w:val="center"/>
          </w:tcPr>
          <w:p>
            <w:pPr>
              <w:spacing w:line="440" w:lineRule="exact"/>
              <w:jc w:val="center"/>
              <w:rPr>
                <w:rFonts w:hint="eastAsia" w:eastAsia="宋体" w:cs="仿宋_GB2312" w:asciiTheme="minorEastAsia" w:hAnsiTheme="minorEastAsia"/>
                <w:b/>
                <w:bCs/>
                <w:color w:val="auto"/>
                <w:kern w:val="0"/>
                <w:szCs w:val="21"/>
              </w:rPr>
            </w:pPr>
          </w:p>
        </w:tc>
        <w:tc>
          <w:tcPr>
            <w:tcW w:w="5953" w:type="dxa"/>
            <w:vAlign w:val="center"/>
          </w:tcPr>
          <w:p>
            <w:pPr>
              <w:spacing w:line="440" w:lineRule="exact"/>
              <w:jc w:val="left"/>
              <w:rPr>
                <w:rFonts w:hint="eastAsia" w:ascii="宋体" w:hAnsi="宋体" w:eastAsia="宋体" w:cs="宋体"/>
                <w:i/>
                <w:color w:val="auto"/>
                <w:kern w:val="0"/>
                <w:szCs w:val="21"/>
              </w:rPr>
            </w:pPr>
            <w:r>
              <w:rPr>
                <w:rFonts w:hint="eastAsia" w:ascii="宋体" w:hAnsi="宋体" w:eastAsia="宋体" w:cs="宋体"/>
                <w:i/>
                <w:color w:val="auto"/>
                <w:kern w:val="0"/>
                <w:szCs w:val="21"/>
              </w:rPr>
              <w:t>具有良好的商业信誉和健全的财务会计制度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2330" w:type="dxa"/>
            <w:vMerge w:val="continue"/>
            <w:vAlign w:val="center"/>
          </w:tcPr>
          <w:p>
            <w:pPr>
              <w:spacing w:line="440" w:lineRule="exact"/>
              <w:jc w:val="center"/>
              <w:rPr>
                <w:rFonts w:hint="eastAsia" w:eastAsia="宋体" w:cs="仿宋_GB2312" w:asciiTheme="minorEastAsia" w:hAnsiTheme="minorEastAsia"/>
                <w:b/>
                <w:bCs/>
                <w:color w:val="auto"/>
                <w:kern w:val="0"/>
                <w:szCs w:val="21"/>
              </w:rPr>
            </w:pPr>
          </w:p>
        </w:tc>
        <w:tc>
          <w:tcPr>
            <w:tcW w:w="5953" w:type="dxa"/>
            <w:vAlign w:val="center"/>
          </w:tcPr>
          <w:p>
            <w:pPr>
              <w:spacing w:line="440" w:lineRule="exact"/>
              <w:jc w:val="left"/>
              <w:rPr>
                <w:rFonts w:hint="eastAsia" w:ascii="宋体" w:hAnsi="宋体" w:eastAsia="宋体" w:cs="宋体"/>
                <w:i/>
                <w:color w:val="auto"/>
                <w:kern w:val="0"/>
                <w:szCs w:val="21"/>
              </w:rPr>
            </w:pPr>
            <w:r>
              <w:rPr>
                <w:rFonts w:hint="eastAsia" w:ascii="宋体" w:hAnsi="宋体" w:eastAsia="宋体" w:cs="宋体"/>
                <w:i/>
                <w:color w:val="auto"/>
                <w:kern w:val="0"/>
                <w:szCs w:val="21"/>
              </w:rPr>
              <w:t>履行合同所必须的设备和专业技术能力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2330" w:type="dxa"/>
            <w:vMerge w:val="continue"/>
            <w:vAlign w:val="center"/>
          </w:tcPr>
          <w:p>
            <w:pPr>
              <w:spacing w:line="440" w:lineRule="exact"/>
              <w:jc w:val="center"/>
              <w:rPr>
                <w:rFonts w:hint="eastAsia" w:eastAsia="宋体" w:cs="仿宋_GB2312" w:asciiTheme="minorEastAsia" w:hAnsiTheme="minorEastAsia"/>
                <w:b/>
                <w:bCs/>
                <w:color w:val="auto"/>
                <w:kern w:val="0"/>
                <w:szCs w:val="21"/>
              </w:rPr>
            </w:pPr>
          </w:p>
        </w:tc>
        <w:tc>
          <w:tcPr>
            <w:tcW w:w="5953" w:type="dxa"/>
            <w:vAlign w:val="center"/>
          </w:tcPr>
          <w:p>
            <w:pPr>
              <w:spacing w:line="440" w:lineRule="exact"/>
              <w:jc w:val="left"/>
              <w:rPr>
                <w:rFonts w:hint="eastAsia" w:ascii="宋体" w:hAnsi="宋体" w:eastAsia="宋体" w:cs="宋体"/>
                <w:i/>
                <w:color w:val="auto"/>
                <w:kern w:val="0"/>
                <w:szCs w:val="21"/>
              </w:rPr>
            </w:pPr>
            <w:r>
              <w:rPr>
                <w:rFonts w:hint="eastAsia" w:ascii="宋体" w:hAnsi="宋体" w:eastAsia="宋体" w:cs="宋体"/>
                <w:i/>
                <w:color w:val="auto"/>
                <w:kern w:val="0"/>
                <w:szCs w:val="21"/>
              </w:rPr>
              <w:t>参加采购活动前3年内，在经营活动中没有重大违法记录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2330" w:type="dxa"/>
            <w:vMerge w:val="restart"/>
            <w:vAlign w:val="center"/>
          </w:tcPr>
          <w:p>
            <w:pPr>
              <w:spacing w:line="440" w:lineRule="exact"/>
              <w:jc w:val="center"/>
              <w:rPr>
                <w:rFonts w:hint="eastAsia" w:eastAsia="宋体" w:cs="仿宋_GB2312" w:asciiTheme="minorEastAsia" w:hAnsiTheme="minorEastAsia"/>
                <w:b/>
                <w:bCs/>
                <w:color w:val="auto"/>
                <w:kern w:val="0"/>
                <w:szCs w:val="21"/>
              </w:rPr>
            </w:pPr>
            <w:r>
              <w:rPr>
                <w:rFonts w:hint="eastAsia" w:eastAsia="宋体" w:cs="仿宋_GB2312" w:asciiTheme="minorEastAsia" w:hAnsiTheme="minorEastAsia"/>
                <w:b/>
                <w:bCs/>
                <w:color w:val="auto"/>
                <w:kern w:val="0"/>
                <w:szCs w:val="21"/>
              </w:rPr>
              <w:t>特定资格</w:t>
            </w:r>
          </w:p>
        </w:tc>
        <w:tc>
          <w:tcPr>
            <w:tcW w:w="5953" w:type="dxa"/>
            <w:vAlign w:val="center"/>
          </w:tcPr>
          <w:p>
            <w:pPr>
              <w:spacing w:line="440" w:lineRule="exact"/>
              <w:jc w:val="left"/>
              <w:rPr>
                <w:rFonts w:hint="eastAsia" w:ascii="宋体" w:hAnsi="宋体" w:eastAsia="宋体" w:cs="宋体"/>
                <w:i/>
                <w:color w:val="auto"/>
                <w:kern w:val="0"/>
                <w:sz w:val="20"/>
                <w:szCs w:val="21"/>
              </w:rPr>
            </w:pPr>
            <w:r>
              <w:rPr>
                <w:rFonts w:hint="eastAsia" w:ascii="宋体" w:hAnsi="宋体" w:eastAsia="宋体" w:cs="宋体"/>
                <w:i/>
                <w:color w:val="auto"/>
                <w:kern w:val="0"/>
                <w:sz w:val="20"/>
                <w:szCs w:val="21"/>
              </w:rPr>
              <w:t>信用记录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2330" w:type="dxa"/>
            <w:vMerge w:val="continue"/>
            <w:vAlign w:val="center"/>
          </w:tcPr>
          <w:p>
            <w:pPr>
              <w:spacing w:line="440" w:lineRule="exact"/>
              <w:jc w:val="left"/>
              <w:rPr>
                <w:rFonts w:hint="eastAsia" w:ascii="宋体" w:hAnsi="宋体" w:eastAsia="宋体" w:cs="宋体"/>
                <w:i/>
                <w:color w:val="auto"/>
                <w:kern w:val="0"/>
                <w:sz w:val="20"/>
                <w:szCs w:val="21"/>
              </w:rPr>
            </w:pPr>
          </w:p>
        </w:tc>
        <w:tc>
          <w:tcPr>
            <w:tcW w:w="5953" w:type="dxa"/>
            <w:vAlign w:val="center"/>
          </w:tcPr>
          <w:p>
            <w:pPr>
              <w:spacing w:line="440" w:lineRule="exact"/>
              <w:jc w:val="left"/>
              <w:rPr>
                <w:rFonts w:hint="eastAsia" w:ascii="宋体" w:hAnsi="宋体" w:eastAsia="宋体" w:cs="宋体"/>
                <w:i/>
                <w:color w:val="auto"/>
                <w:kern w:val="0"/>
                <w:sz w:val="20"/>
                <w:szCs w:val="21"/>
              </w:rPr>
            </w:pPr>
            <w:r>
              <w:rPr>
                <w:rFonts w:hint="eastAsia" w:ascii="宋体" w:hAnsi="宋体" w:eastAsia="宋体" w:cs="宋体"/>
                <w:i/>
                <w:color w:val="auto"/>
                <w:kern w:val="0"/>
                <w:sz w:val="20"/>
                <w:szCs w:val="21"/>
              </w:rPr>
              <w:t>行业特定资格</w:t>
            </w:r>
          </w:p>
        </w:tc>
      </w:tr>
    </w:tbl>
    <w:p>
      <w:pPr>
        <w:spacing w:before="312" w:beforeLines="100" w:line="360" w:lineRule="auto"/>
        <w:jc w:val="left"/>
        <w:rPr>
          <w:rFonts w:ascii="Times New Roman" w:hAnsi="Times New Roman" w:eastAsia="宋体" w:cs="宋体"/>
          <w:b/>
          <w:bCs/>
          <w:color w:val="auto"/>
          <w:szCs w:val="21"/>
        </w:rPr>
      </w:pPr>
    </w:p>
    <w:p>
      <w:pPr>
        <w:widowControl/>
        <w:spacing w:line="360" w:lineRule="auto"/>
        <w:rPr>
          <w:rFonts w:hint="eastAsia" w:ascii="仿宋" w:hAnsi="仿宋" w:eastAsia="仿宋"/>
          <w:bCs/>
          <w:i/>
          <w:iCs/>
          <w:color w:val="auto"/>
          <w:sz w:val="24"/>
        </w:rPr>
      </w:pPr>
      <w:r>
        <w:rPr>
          <w:rFonts w:hint="eastAsia" w:ascii="Times New Roman" w:hAnsi="Times New Roman" w:eastAsia="宋体" w:cs="宋体"/>
          <w:b/>
          <w:bCs/>
          <w:color w:val="auto"/>
          <w:szCs w:val="21"/>
        </w:rPr>
        <w:t>三、相关产业发展</w:t>
      </w:r>
      <w:r>
        <w:rPr>
          <w:rFonts w:hint="eastAsia" w:ascii="仿宋" w:hAnsi="仿宋" w:eastAsia="仿宋"/>
          <w:bCs/>
          <w:i/>
          <w:iCs/>
          <w:color w:val="auto"/>
          <w:sz w:val="24"/>
        </w:rPr>
        <w:t>（供应商应当选择真实、有效的信息，信息来源应当有依据且符合当前市场实际情况，不得随意编造。）</w:t>
      </w:r>
    </w:p>
    <w:p>
      <w:pPr>
        <w:spacing w:line="360" w:lineRule="auto"/>
        <w:jc w:val="left"/>
        <w:rPr>
          <w:rFonts w:ascii="Times New Roman" w:hAnsi="Times New Roman" w:eastAsia="宋体" w:cs="宋体"/>
          <w:b/>
          <w:bCs/>
          <w:color w:val="auto"/>
          <w:szCs w:val="21"/>
        </w:rPr>
      </w:pPr>
    </w:p>
    <w:p>
      <w:pPr>
        <w:outlineLvl w:val="2"/>
        <w:rPr>
          <w:rFonts w:hint="eastAsia" w:ascii="宋体" w:hAnsi="宋体" w:eastAsia="宋体"/>
          <w:b/>
          <w:color w:val="auto"/>
          <w:szCs w:val="21"/>
        </w:rPr>
      </w:pPr>
      <w:r>
        <w:rPr>
          <w:rFonts w:hint="eastAsia" w:ascii="宋体" w:hAnsi="宋体" w:eastAsia="宋体"/>
          <w:b/>
          <w:color w:val="auto"/>
          <w:szCs w:val="21"/>
        </w:rPr>
        <w:t>1.现有产品的技术路线、工艺水平、技术水平或行业的发展历程、行业现状等：</w:t>
      </w:r>
    </w:p>
    <w:p>
      <w:pPr>
        <w:pStyle w:val="10"/>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outlineLvl w:val="2"/>
        <w:rPr>
          <w:rFonts w:hint="eastAsia" w:ascii="宋体" w:hAnsi="宋体" w:eastAsia="宋体"/>
          <w:b/>
          <w:color w:val="auto"/>
          <w:szCs w:val="21"/>
        </w:rPr>
      </w:pPr>
      <w:r>
        <w:rPr>
          <w:rFonts w:hint="eastAsia" w:ascii="宋体" w:hAnsi="宋体" w:eastAsia="宋体"/>
          <w:b/>
          <w:color w:val="auto"/>
          <w:szCs w:val="21"/>
        </w:rPr>
        <w:t>2.可能涉及的企业资质：</w:t>
      </w:r>
    </w:p>
    <w:p>
      <w:pPr>
        <w:tabs>
          <w:tab w:val="left" w:pos="2014"/>
        </w:tabs>
        <w:jc w:val="left"/>
        <w:rPr>
          <w:color w:val="auto"/>
        </w:rPr>
      </w:pPr>
    </w:p>
    <w:p>
      <w:pPr>
        <w:tabs>
          <w:tab w:val="left" w:pos="2014"/>
        </w:tabs>
        <w:jc w:val="left"/>
        <w:rPr>
          <w:color w:val="auto"/>
        </w:rPr>
      </w:pPr>
      <w:r>
        <w:rPr>
          <w:rFonts w:hint="eastAsia"/>
          <w:color w:val="auto"/>
        </w:rPr>
        <w:t>（如</w:t>
      </w:r>
      <w:r>
        <w:rPr>
          <w:color w:val="auto"/>
        </w:rPr>
        <w:t>质量管理体系、环境管理体系</w:t>
      </w:r>
      <w:r>
        <w:rPr>
          <w:rFonts w:hint="eastAsia"/>
          <w:color w:val="auto"/>
        </w:rPr>
        <w:t>、</w:t>
      </w:r>
      <w:r>
        <w:rPr>
          <w:color w:val="auto"/>
        </w:rPr>
        <w:t>职业健康安全管理体系</w:t>
      </w:r>
      <w:r>
        <w:rPr>
          <w:rFonts w:hint="eastAsia"/>
          <w:color w:val="auto"/>
        </w:rPr>
        <w:t>，认证范围需与设备销售或制造相关）</w:t>
      </w:r>
    </w:p>
    <w:p>
      <w:pPr>
        <w:tabs>
          <w:tab w:val="left" w:pos="2014"/>
        </w:tabs>
        <w:jc w:val="left"/>
        <w:rPr>
          <w:color w:val="auto"/>
        </w:rPr>
      </w:pPr>
    </w:p>
    <w:p>
      <w:pPr>
        <w:tabs>
          <w:tab w:val="left" w:pos="2014"/>
        </w:tabs>
        <w:jc w:val="left"/>
        <w:rPr>
          <w:color w:val="auto"/>
        </w:rPr>
      </w:pPr>
    </w:p>
    <w:p>
      <w:pPr>
        <w:tabs>
          <w:tab w:val="left" w:pos="2014"/>
        </w:tabs>
        <w:jc w:val="left"/>
        <w:rPr>
          <w:color w:val="auto"/>
        </w:rPr>
        <w:sectPr>
          <w:pgSz w:w="11906" w:h="16838"/>
          <w:pgMar w:top="1440" w:right="1800" w:bottom="1440" w:left="1800" w:header="851" w:footer="992" w:gutter="0"/>
          <w:cols w:space="425" w:num="1"/>
          <w:docGrid w:type="lines" w:linePitch="312" w:charSpace="0"/>
        </w:sectPr>
      </w:pPr>
    </w:p>
    <w:p>
      <w:pPr>
        <w:rPr>
          <w:rFonts w:hint="eastAsia" w:ascii="宋体" w:hAnsi="宋体" w:eastAsia="宋体"/>
          <w:b/>
          <w:color w:val="auto"/>
          <w:szCs w:val="21"/>
        </w:rPr>
      </w:pPr>
    </w:p>
    <w:p>
      <w:pPr>
        <w:outlineLvl w:val="2"/>
        <w:rPr>
          <w:rFonts w:hint="eastAsia" w:ascii="宋体" w:hAnsi="宋体" w:eastAsia="宋体"/>
          <w:b/>
          <w:color w:val="auto"/>
          <w:szCs w:val="21"/>
        </w:rPr>
      </w:pPr>
      <w:r>
        <w:rPr>
          <w:rFonts w:hint="eastAsia" w:ascii="宋体" w:hAnsi="宋体" w:eastAsia="宋体"/>
          <w:b/>
          <w:color w:val="auto"/>
          <w:szCs w:val="21"/>
        </w:rPr>
        <w:t>3.可能涉及的人员资质：</w:t>
      </w:r>
    </w:p>
    <w:tbl>
      <w:tblPr>
        <w:tblStyle w:val="28"/>
        <w:tblW w:w="5134"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108" w:type="dxa"/>
          <w:bottom w:w="0" w:type="dxa"/>
          <w:right w:w="108" w:type="dxa"/>
        </w:tblCellMar>
      </w:tblPr>
      <w:tblGrid>
        <w:gridCol w:w="941"/>
        <w:gridCol w:w="1002"/>
        <w:gridCol w:w="662"/>
        <w:gridCol w:w="709"/>
        <w:gridCol w:w="709"/>
        <w:gridCol w:w="709"/>
        <w:gridCol w:w="851"/>
        <w:gridCol w:w="1419"/>
        <w:gridCol w:w="1748"/>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99" w:hRule="atLeast"/>
          <w:jc w:val="center"/>
        </w:trPr>
        <w:tc>
          <w:tcPr>
            <w:tcW w:w="538" w:type="pct"/>
            <w:tcBorders>
              <w:top w:val="single" w:color="auto" w:sz="12" w:space="0"/>
              <w:bottom w:val="single" w:color="auto" w:sz="2" w:space="0"/>
            </w:tcBorders>
            <w:vAlign w:val="center"/>
          </w:tcPr>
          <w:p>
            <w:pPr>
              <w:spacing w:line="360" w:lineRule="auto"/>
              <w:jc w:val="center"/>
              <w:rPr>
                <w:rFonts w:hint="eastAsia" w:ascii="宋体" w:hAnsi="宋体" w:cs="宋体"/>
                <w:color w:val="auto"/>
              </w:rPr>
            </w:pPr>
            <w:r>
              <w:rPr>
                <w:rFonts w:hint="eastAsia" w:ascii="宋体" w:hAnsi="宋体" w:cs="宋体"/>
                <w:color w:val="auto"/>
              </w:rPr>
              <w:t>序号</w:t>
            </w:r>
          </w:p>
        </w:tc>
        <w:tc>
          <w:tcPr>
            <w:tcW w:w="573" w:type="pct"/>
            <w:tcBorders>
              <w:top w:val="single" w:color="auto" w:sz="12" w:space="0"/>
              <w:bottom w:val="single" w:color="auto" w:sz="2" w:space="0"/>
            </w:tcBorders>
            <w:vAlign w:val="center"/>
          </w:tcPr>
          <w:p>
            <w:pPr>
              <w:pStyle w:val="60"/>
              <w:keepNext w:val="0"/>
              <w:adjustRightInd/>
              <w:spacing w:before="0" w:after="0" w:line="360" w:lineRule="auto"/>
              <w:textAlignment w:val="auto"/>
              <w:rPr>
                <w:rFonts w:hint="eastAsia" w:ascii="宋体" w:hAnsi="宋体" w:cs="宋体"/>
                <w:snapToGrid/>
                <w:color w:val="auto"/>
                <w:spacing w:val="0"/>
                <w:kern w:val="2"/>
                <w:sz w:val="21"/>
                <w:szCs w:val="24"/>
              </w:rPr>
            </w:pPr>
            <w:r>
              <w:rPr>
                <w:rFonts w:hint="eastAsia" w:ascii="宋体" w:hAnsi="宋体" w:cs="宋体"/>
                <w:snapToGrid/>
                <w:color w:val="auto"/>
                <w:spacing w:val="0"/>
                <w:kern w:val="2"/>
                <w:sz w:val="21"/>
                <w:szCs w:val="24"/>
              </w:rPr>
              <w:t>姓名</w:t>
            </w:r>
          </w:p>
        </w:tc>
        <w:tc>
          <w:tcPr>
            <w:tcW w:w="378" w:type="pct"/>
            <w:tcBorders>
              <w:top w:val="single" w:color="auto" w:sz="12" w:space="0"/>
              <w:bottom w:val="single" w:color="auto" w:sz="2" w:space="0"/>
            </w:tcBorders>
            <w:vAlign w:val="center"/>
          </w:tcPr>
          <w:p>
            <w:pPr>
              <w:spacing w:line="360" w:lineRule="auto"/>
              <w:jc w:val="center"/>
              <w:rPr>
                <w:rFonts w:hint="eastAsia" w:ascii="宋体" w:hAnsi="宋体" w:cs="宋体"/>
                <w:color w:val="auto"/>
              </w:rPr>
            </w:pPr>
            <w:r>
              <w:rPr>
                <w:rFonts w:hint="eastAsia" w:ascii="宋体" w:hAnsi="宋体" w:cs="宋体"/>
                <w:color w:val="auto"/>
              </w:rPr>
              <w:t>性别</w:t>
            </w:r>
          </w:p>
        </w:tc>
        <w:tc>
          <w:tcPr>
            <w:tcW w:w="405" w:type="pct"/>
            <w:tcBorders>
              <w:top w:val="single" w:color="auto" w:sz="12" w:space="0"/>
              <w:bottom w:val="single" w:color="auto" w:sz="2" w:space="0"/>
            </w:tcBorders>
            <w:vAlign w:val="center"/>
          </w:tcPr>
          <w:p>
            <w:pPr>
              <w:spacing w:line="360" w:lineRule="auto"/>
              <w:jc w:val="center"/>
              <w:rPr>
                <w:rFonts w:hint="eastAsia" w:ascii="宋体" w:hAnsi="宋体" w:cs="宋体"/>
                <w:color w:val="auto"/>
              </w:rPr>
            </w:pPr>
            <w:r>
              <w:rPr>
                <w:rFonts w:hint="eastAsia" w:ascii="宋体" w:hAnsi="宋体" w:cs="宋体"/>
                <w:color w:val="auto"/>
              </w:rPr>
              <w:t>年龄</w:t>
            </w:r>
          </w:p>
        </w:tc>
        <w:tc>
          <w:tcPr>
            <w:tcW w:w="405" w:type="pct"/>
            <w:tcBorders>
              <w:top w:val="single" w:color="auto" w:sz="12" w:space="0"/>
              <w:bottom w:val="single" w:color="auto" w:sz="2" w:space="0"/>
            </w:tcBorders>
            <w:vAlign w:val="center"/>
          </w:tcPr>
          <w:p>
            <w:pPr>
              <w:spacing w:line="360" w:lineRule="auto"/>
              <w:jc w:val="center"/>
              <w:rPr>
                <w:rFonts w:hint="eastAsia" w:ascii="宋体" w:hAnsi="宋体" w:cs="宋体"/>
                <w:color w:val="auto"/>
              </w:rPr>
            </w:pPr>
            <w:r>
              <w:rPr>
                <w:rFonts w:hint="eastAsia" w:ascii="宋体" w:hAnsi="宋体" w:cs="宋体"/>
                <w:color w:val="auto"/>
              </w:rPr>
              <w:t>学历</w:t>
            </w:r>
          </w:p>
        </w:tc>
        <w:tc>
          <w:tcPr>
            <w:tcW w:w="405" w:type="pct"/>
            <w:tcBorders>
              <w:top w:val="single" w:color="auto" w:sz="12" w:space="0"/>
              <w:bottom w:val="single" w:color="auto" w:sz="2" w:space="0"/>
            </w:tcBorders>
            <w:vAlign w:val="center"/>
          </w:tcPr>
          <w:p>
            <w:pPr>
              <w:spacing w:line="360" w:lineRule="auto"/>
              <w:jc w:val="center"/>
              <w:rPr>
                <w:rFonts w:hint="eastAsia" w:ascii="宋体" w:hAnsi="宋体" w:cs="宋体"/>
                <w:color w:val="auto"/>
              </w:rPr>
            </w:pPr>
            <w:r>
              <w:rPr>
                <w:rFonts w:hint="eastAsia" w:ascii="宋体" w:hAnsi="宋体" w:cs="宋体"/>
                <w:color w:val="auto"/>
              </w:rPr>
              <w:t>专业</w:t>
            </w:r>
          </w:p>
        </w:tc>
        <w:tc>
          <w:tcPr>
            <w:tcW w:w="486" w:type="pct"/>
            <w:tcBorders>
              <w:top w:val="single" w:color="auto" w:sz="12" w:space="0"/>
              <w:bottom w:val="single" w:color="auto" w:sz="2" w:space="0"/>
            </w:tcBorders>
            <w:vAlign w:val="center"/>
          </w:tcPr>
          <w:p>
            <w:pPr>
              <w:spacing w:line="360" w:lineRule="auto"/>
              <w:jc w:val="center"/>
              <w:rPr>
                <w:rFonts w:hint="eastAsia" w:ascii="宋体" w:hAnsi="宋体" w:cs="宋体"/>
                <w:color w:val="auto"/>
              </w:rPr>
            </w:pPr>
            <w:r>
              <w:rPr>
                <w:rFonts w:hint="eastAsia" w:ascii="宋体" w:hAnsi="宋体" w:cs="宋体"/>
                <w:color w:val="auto"/>
              </w:rPr>
              <w:t>经验年限</w:t>
            </w:r>
          </w:p>
        </w:tc>
        <w:tc>
          <w:tcPr>
            <w:tcW w:w="811" w:type="pct"/>
            <w:tcBorders>
              <w:top w:val="single" w:color="auto" w:sz="12" w:space="0"/>
              <w:bottom w:val="single" w:color="auto" w:sz="2" w:space="0"/>
            </w:tcBorders>
            <w:vAlign w:val="center"/>
          </w:tcPr>
          <w:p>
            <w:pPr>
              <w:spacing w:line="360" w:lineRule="auto"/>
              <w:jc w:val="center"/>
              <w:rPr>
                <w:rFonts w:hint="eastAsia" w:ascii="宋体" w:hAnsi="宋体" w:cs="宋体"/>
                <w:color w:val="auto"/>
              </w:rPr>
            </w:pPr>
            <w:r>
              <w:rPr>
                <w:rFonts w:hint="eastAsia" w:ascii="宋体" w:hAnsi="宋体" w:cs="宋体"/>
                <w:color w:val="auto"/>
              </w:rPr>
              <w:t>资质证书/职称证书</w:t>
            </w:r>
          </w:p>
        </w:tc>
        <w:tc>
          <w:tcPr>
            <w:tcW w:w="999" w:type="pct"/>
            <w:tcBorders>
              <w:top w:val="single" w:color="auto" w:sz="12" w:space="0"/>
              <w:bottom w:val="single" w:color="auto" w:sz="2" w:space="0"/>
            </w:tcBorders>
            <w:vAlign w:val="center"/>
          </w:tcPr>
          <w:p>
            <w:pPr>
              <w:spacing w:line="360" w:lineRule="auto"/>
              <w:jc w:val="center"/>
              <w:rPr>
                <w:rFonts w:hint="eastAsia" w:ascii="宋体" w:hAnsi="宋体" w:cs="宋体"/>
                <w:color w:val="auto"/>
              </w:rPr>
            </w:pPr>
            <w:r>
              <w:rPr>
                <w:rFonts w:hint="eastAsia" w:ascii="宋体" w:hAnsi="宋体" w:cs="宋体"/>
                <w:color w:val="auto"/>
              </w:rPr>
              <w:t>本项目拟担任职务及职责</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538" w:type="pct"/>
            <w:tcBorders>
              <w:top w:val="single" w:color="auto" w:sz="2" w:space="0"/>
            </w:tcBorders>
            <w:vAlign w:val="center"/>
          </w:tcPr>
          <w:p>
            <w:pPr>
              <w:spacing w:line="360" w:lineRule="auto"/>
              <w:jc w:val="center"/>
              <w:rPr>
                <w:rFonts w:hint="eastAsia" w:ascii="宋体" w:hAnsi="宋体" w:cs="宋体"/>
                <w:color w:val="auto"/>
              </w:rPr>
            </w:pPr>
          </w:p>
        </w:tc>
        <w:tc>
          <w:tcPr>
            <w:tcW w:w="573" w:type="pct"/>
            <w:tcBorders>
              <w:top w:val="single" w:color="auto" w:sz="2" w:space="0"/>
            </w:tcBorders>
            <w:vAlign w:val="center"/>
          </w:tcPr>
          <w:p>
            <w:pPr>
              <w:spacing w:line="360" w:lineRule="auto"/>
              <w:jc w:val="center"/>
              <w:rPr>
                <w:rFonts w:hint="eastAsia" w:ascii="宋体" w:hAnsi="宋体" w:cs="宋体"/>
                <w:color w:val="auto"/>
              </w:rPr>
            </w:pPr>
          </w:p>
        </w:tc>
        <w:tc>
          <w:tcPr>
            <w:tcW w:w="378" w:type="pct"/>
            <w:tcBorders>
              <w:top w:val="single" w:color="auto" w:sz="2" w:space="0"/>
            </w:tcBorders>
            <w:vAlign w:val="center"/>
          </w:tcPr>
          <w:p>
            <w:pPr>
              <w:spacing w:line="360" w:lineRule="auto"/>
              <w:jc w:val="center"/>
              <w:rPr>
                <w:rFonts w:hint="eastAsia" w:ascii="宋体" w:hAnsi="宋体" w:cs="宋体"/>
                <w:color w:val="auto"/>
              </w:rPr>
            </w:pPr>
          </w:p>
        </w:tc>
        <w:tc>
          <w:tcPr>
            <w:tcW w:w="405" w:type="pct"/>
            <w:tcBorders>
              <w:top w:val="single" w:color="auto" w:sz="2" w:space="0"/>
            </w:tcBorders>
            <w:vAlign w:val="center"/>
          </w:tcPr>
          <w:p>
            <w:pPr>
              <w:spacing w:line="360" w:lineRule="auto"/>
              <w:jc w:val="center"/>
              <w:rPr>
                <w:rFonts w:hint="eastAsia" w:ascii="宋体" w:hAnsi="宋体" w:cs="宋体"/>
                <w:color w:val="auto"/>
              </w:rPr>
            </w:pPr>
          </w:p>
        </w:tc>
        <w:tc>
          <w:tcPr>
            <w:tcW w:w="405" w:type="pct"/>
            <w:tcBorders>
              <w:top w:val="single" w:color="auto" w:sz="2" w:space="0"/>
            </w:tcBorders>
            <w:vAlign w:val="center"/>
          </w:tcPr>
          <w:p>
            <w:pPr>
              <w:spacing w:line="360" w:lineRule="auto"/>
              <w:jc w:val="center"/>
              <w:rPr>
                <w:rFonts w:hint="eastAsia" w:ascii="宋体" w:hAnsi="宋体" w:cs="宋体"/>
                <w:color w:val="auto"/>
              </w:rPr>
            </w:pPr>
          </w:p>
        </w:tc>
        <w:tc>
          <w:tcPr>
            <w:tcW w:w="405" w:type="pct"/>
            <w:tcBorders>
              <w:top w:val="single" w:color="auto" w:sz="2" w:space="0"/>
            </w:tcBorders>
            <w:vAlign w:val="center"/>
          </w:tcPr>
          <w:p>
            <w:pPr>
              <w:spacing w:line="360" w:lineRule="auto"/>
              <w:jc w:val="center"/>
              <w:rPr>
                <w:rFonts w:hint="eastAsia" w:ascii="宋体" w:hAnsi="宋体" w:cs="宋体"/>
                <w:color w:val="auto"/>
              </w:rPr>
            </w:pPr>
          </w:p>
        </w:tc>
        <w:tc>
          <w:tcPr>
            <w:tcW w:w="486" w:type="pct"/>
            <w:tcBorders>
              <w:top w:val="single" w:color="auto" w:sz="2" w:space="0"/>
            </w:tcBorders>
            <w:vAlign w:val="center"/>
          </w:tcPr>
          <w:p>
            <w:pPr>
              <w:spacing w:line="360" w:lineRule="auto"/>
              <w:jc w:val="center"/>
              <w:rPr>
                <w:rFonts w:hint="eastAsia" w:ascii="宋体" w:hAnsi="宋体" w:cs="宋体"/>
                <w:color w:val="auto"/>
              </w:rPr>
            </w:pPr>
          </w:p>
        </w:tc>
        <w:tc>
          <w:tcPr>
            <w:tcW w:w="811" w:type="pct"/>
            <w:tcBorders>
              <w:top w:val="single" w:color="auto" w:sz="2" w:space="0"/>
            </w:tcBorders>
            <w:vAlign w:val="center"/>
          </w:tcPr>
          <w:p>
            <w:pPr>
              <w:spacing w:line="360" w:lineRule="auto"/>
              <w:jc w:val="center"/>
              <w:rPr>
                <w:rFonts w:hint="eastAsia" w:ascii="宋体" w:hAnsi="宋体" w:cs="宋体"/>
                <w:color w:val="auto"/>
              </w:rPr>
            </w:pPr>
          </w:p>
        </w:tc>
        <w:tc>
          <w:tcPr>
            <w:tcW w:w="999" w:type="pct"/>
            <w:tcBorders>
              <w:top w:val="single" w:color="auto" w:sz="2" w:space="0"/>
            </w:tcBorders>
            <w:vAlign w:val="center"/>
          </w:tcPr>
          <w:p>
            <w:pPr>
              <w:spacing w:line="360" w:lineRule="auto"/>
              <w:jc w:val="center"/>
              <w:rPr>
                <w:rFonts w:hint="eastAsia" w:ascii="宋体" w:hAnsi="宋体" w:cs="宋体"/>
                <w:color w:val="auto"/>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538" w:type="pct"/>
            <w:vAlign w:val="center"/>
          </w:tcPr>
          <w:p>
            <w:pPr>
              <w:spacing w:line="360" w:lineRule="auto"/>
              <w:jc w:val="center"/>
              <w:rPr>
                <w:rFonts w:hint="eastAsia" w:ascii="宋体" w:hAnsi="宋体" w:cs="宋体"/>
                <w:color w:val="auto"/>
              </w:rPr>
            </w:pPr>
          </w:p>
        </w:tc>
        <w:tc>
          <w:tcPr>
            <w:tcW w:w="573" w:type="pct"/>
            <w:vAlign w:val="center"/>
          </w:tcPr>
          <w:p>
            <w:pPr>
              <w:spacing w:line="360" w:lineRule="auto"/>
              <w:jc w:val="center"/>
              <w:rPr>
                <w:rFonts w:hint="eastAsia" w:ascii="宋体" w:hAnsi="宋体" w:cs="宋体"/>
                <w:color w:val="auto"/>
              </w:rPr>
            </w:pPr>
          </w:p>
        </w:tc>
        <w:tc>
          <w:tcPr>
            <w:tcW w:w="378"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86" w:type="pct"/>
            <w:vAlign w:val="center"/>
          </w:tcPr>
          <w:p>
            <w:pPr>
              <w:spacing w:line="360" w:lineRule="auto"/>
              <w:jc w:val="center"/>
              <w:rPr>
                <w:rFonts w:hint="eastAsia" w:ascii="宋体" w:hAnsi="宋体" w:cs="宋体"/>
                <w:color w:val="auto"/>
              </w:rPr>
            </w:pPr>
          </w:p>
        </w:tc>
        <w:tc>
          <w:tcPr>
            <w:tcW w:w="811" w:type="pct"/>
            <w:vAlign w:val="center"/>
          </w:tcPr>
          <w:p>
            <w:pPr>
              <w:spacing w:line="360" w:lineRule="auto"/>
              <w:jc w:val="center"/>
              <w:rPr>
                <w:rFonts w:hint="eastAsia" w:ascii="宋体" w:hAnsi="宋体" w:cs="宋体"/>
                <w:color w:val="auto"/>
              </w:rPr>
            </w:pPr>
          </w:p>
        </w:tc>
        <w:tc>
          <w:tcPr>
            <w:tcW w:w="999" w:type="pct"/>
            <w:vAlign w:val="center"/>
          </w:tcPr>
          <w:p>
            <w:pPr>
              <w:spacing w:line="360" w:lineRule="auto"/>
              <w:jc w:val="center"/>
              <w:rPr>
                <w:rFonts w:hint="eastAsia" w:ascii="宋体" w:hAnsi="宋体" w:cs="宋体"/>
                <w:color w:val="auto"/>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PrEx>
        <w:trPr>
          <w:trHeight w:val="567" w:hRule="atLeast"/>
          <w:jc w:val="center"/>
        </w:trPr>
        <w:tc>
          <w:tcPr>
            <w:tcW w:w="538" w:type="pct"/>
            <w:vAlign w:val="center"/>
          </w:tcPr>
          <w:p>
            <w:pPr>
              <w:spacing w:line="360" w:lineRule="auto"/>
              <w:jc w:val="center"/>
              <w:rPr>
                <w:rFonts w:hint="eastAsia" w:ascii="宋体" w:hAnsi="宋体" w:cs="宋体"/>
                <w:color w:val="auto"/>
              </w:rPr>
            </w:pPr>
          </w:p>
        </w:tc>
        <w:tc>
          <w:tcPr>
            <w:tcW w:w="573" w:type="pct"/>
            <w:vAlign w:val="center"/>
          </w:tcPr>
          <w:p>
            <w:pPr>
              <w:spacing w:line="360" w:lineRule="auto"/>
              <w:jc w:val="center"/>
              <w:rPr>
                <w:rFonts w:hint="eastAsia" w:ascii="宋体" w:hAnsi="宋体" w:cs="宋体"/>
                <w:color w:val="auto"/>
              </w:rPr>
            </w:pPr>
          </w:p>
        </w:tc>
        <w:tc>
          <w:tcPr>
            <w:tcW w:w="378"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86" w:type="pct"/>
            <w:vAlign w:val="center"/>
          </w:tcPr>
          <w:p>
            <w:pPr>
              <w:spacing w:line="360" w:lineRule="auto"/>
              <w:jc w:val="center"/>
              <w:rPr>
                <w:rFonts w:hint="eastAsia" w:ascii="宋体" w:hAnsi="宋体" w:cs="宋体"/>
                <w:color w:val="auto"/>
              </w:rPr>
            </w:pPr>
          </w:p>
        </w:tc>
        <w:tc>
          <w:tcPr>
            <w:tcW w:w="811" w:type="pct"/>
            <w:vAlign w:val="center"/>
          </w:tcPr>
          <w:p>
            <w:pPr>
              <w:spacing w:line="360" w:lineRule="auto"/>
              <w:jc w:val="center"/>
              <w:rPr>
                <w:rFonts w:hint="eastAsia" w:ascii="宋体" w:hAnsi="宋体" w:cs="宋体"/>
                <w:color w:val="auto"/>
              </w:rPr>
            </w:pPr>
          </w:p>
        </w:tc>
        <w:tc>
          <w:tcPr>
            <w:tcW w:w="999" w:type="pct"/>
            <w:vAlign w:val="center"/>
          </w:tcPr>
          <w:p>
            <w:pPr>
              <w:spacing w:line="360" w:lineRule="auto"/>
              <w:jc w:val="center"/>
              <w:rPr>
                <w:rFonts w:hint="eastAsia" w:ascii="宋体" w:hAnsi="宋体" w:cs="宋体"/>
                <w:color w:val="auto"/>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538" w:type="pct"/>
            <w:vAlign w:val="center"/>
          </w:tcPr>
          <w:p>
            <w:pPr>
              <w:spacing w:line="360" w:lineRule="auto"/>
              <w:jc w:val="center"/>
              <w:rPr>
                <w:rFonts w:hint="eastAsia" w:ascii="宋体" w:hAnsi="宋体" w:cs="宋体"/>
                <w:color w:val="auto"/>
              </w:rPr>
            </w:pPr>
          </w:p>
        </w:tc>
        <w:tc>
          <w:tcPr>
            <w:tcW w:w="573" w:type="pct"/>
            <w:vAlign w:val="center"/>
          </w:tcPr>
          <w:p>
            <w:pPr>
              <w:spacing w:line="360" w:lineRule="auto"/>
              <w:jc w:val="center"/>
              <w:rPr>
                <w:rFonts w:hint="eastAsia" w:ascii="宋体" w:hAnsi="宋体" w:cs="宋体"/>
                <w:color w:val="auto"/>
              </w:rPr>
            </w:pPr>
          </w:p>
        </w:tc>
        <w:tc>
          <w:tcPr>
            <w:tcW w:w="378"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86" w:type="pct"/>
            <w:vAlign w:val="center"/>
          </w:tcPr>
          <w:p>
            <w:pPr>
              <w:spacing w:line="360" w:lineRule="auto"/>
              <w:jc w:val="center"/>
              <w:rPr>
                <w:rFonts w:hint="eastAsia" w:ascii="宋体" w:hAnsi="宋体" w:cs="宋体"/>
                <w:color w:val="auto"/>
              </w:rPr>
            </w:pPr>
          </w:p>
        </w:tc>
        <w:tc>
          <w:tcPr>
            <w:tcW w:w="811" w:type="pct"/>
            <w:vAlign w:val="center"/>
          </w:tcPr>
          <w:p>
            <w:pPr>
              <w:spacing w:line="360" w:lineRule="auto"/>
              <w:jc w:val="center"/>
              <w:rPr>
                <w:rFonts w:hint="eastAsia" w:ascii="宋体" w:hAnsi="宋体" w:cs="宋体"/>
                <w:color w:val="auto"/>
              </w:rPr>
            </w:pPr>
          </w:p>
        </w:tc>
        <w:tc>
          <w:tcPr>
            <w:tcW w:w="999" w:type="pct"/>
            <w:vAlign w:val="center"/>
          </w:tcPr>
          <w:p>
            <w:pPr>
              <w:spacing w:line="360" w:lineRule="auto"/>
              <w:jc w:val="center"/>
              <w:rPr>
                <w:rFonts w:hint="eastAsia" w:ascii="宋体" w:hAnsi="宋体" w:cs="宋体"/>
                <w:color w:val="auto"/>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538" w:type="pct"/>
            <w:vAlign w:val="center"/>
          </w:tcPr>
          <w:p>
            <w:pPr>
              <w:spacing w:line="360" w:lineRule="auto"/>
              <w:jc w:val="center"/>
              <w:rPr>
                <w:rFonts w:hint="eastAsia" w:ascii="宋体" w:hAnsi="宋体" w:cs="宋体"/>
                <w:color w:val="auto"/>
              </w:rPr>
            </w:pPr>
          </w:p>
        </w:tc>
        <w:tc>
          <w:tcPr>
            <w:tcW w:w="573" w:type="pct"/>
            <w:vAlign w:val="center"/>
          </w:tcPr>
          <w:p>
            <w:pPr>
              <w:spacing w:line="360" w:lineRule="auto"/>
              <w:jc w:val="center"/>
              <w:rPr>
                <w:rFonts w:hint="eastAsia" w:ascii="宋体" w:hAnsi="宋体" w:cs="宋体"/>
                <w:color w:val="auto"/>
              </w:rPr>
            </w:pPr>
          </w:p>
        </w:tc>
        <w:tc>
          <w:tcPr>
            <w:tcW w:w="378"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86" w:type="pct"/>
            <w:vAlign w:val="center"/>
          </w:tcPr>
          <w:p>
            <w:pPr>
              <w:spacing w:line="360" w:lineRule="auto"/>
              <w:jc w:val="center"/>
              <w:rPr>
                <w:rFonts w:hint="eastAsia" w:ascii="宋体" w:hAnsi="宋体" w:cs="宋体"/>
                <w:color w:val="auto"/>
              </w:rPr>
            </w:pPr>
          </w:p>
        </w:tc>
        <w:tc>
          <w:tcPr>
            <w:tcW w:w="811" w:type="pct"/>
            <w:vAlign w:val="center"/>
          </w:tcPr>
          <w:p>
            <w:pPr>
              <w:spacing w:line="360" w:lineRule="auto"/>
              <w:jc w:val="center"/>
              <w:rPr>
                <w:rFonts w:hint="eastAsia" w:ascii="宋体" w:hAnsi="宋体" w:cs="宋体"/>
                <w:color w:val="auto"/>
              </w:rPr>
            </w:pPr>
          </w:p>
        </w:tc>
        <w:tc>
          <w:tcPr>
            <w:tcW w:w="999" w:type="pct"/>
            <w:vAlign w:val="center"/>
          </w:tcPr>
          <w:p>
            <w:pPr>
              <w:spacing w:line="360" w:lineRule="auto"/>
              <w:jc w:val="center"/>
              <w:rPr>
                <w:rFonts w:hint="eastAsia" w:ascii="宋体" w:hAnsi="宋体" w:cs="宋体"/>
                <w:color w:val="auto"/>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538" w:type="pct"/>
            <w:vAlign w:val="center"/>
          </w:tcPr>
          <w:p>
            <w:pPr>
              <w:spacing w:line="360" w:lineRule="auto"/>
              <w:jc w:val="center"/>
              <w:rPr>
                <w:rFonts w:hint="eastAsia" w:ascii="宋体" w:hAnsi="宋体" w:cs="宋体"/>
                <w:color w:val="auto"/>
              </w:rPr>
            </w:pPr>
          </w:p>
        </w:tc>
        <w:tc>
          <w:tcPr>
            <w:tcW w:w="573" w:type="pct"/>
            <w:vAlign w:val="center"/>
          </w:tcPr>
          <w:p>
            <w:pPr>
              <w:spacing w:line="360" w:lineRule="auto"/>
              <w:jc w:val="center"/>
              <w:rPr>
                <w:rFonts w:hint="eastAsia" w:ascii="宋体" w:hAnsi="宋体" w:cs="宋体"/>
                <w:color w:val="auto"/>
              </w:rPr>
            </w:pPr>
          </w:p>
        </w:tc>
        <w:tc>
          <w:tcPr>
            <w:tcW w:w="378"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86" w:type="pct"/>
            <w:vAlign w:val="center"/>
          </w:tcPr>
          <w:p>
            <w:pPr>
              <w:spacing w:line="360" w:lineRule="auto"/>
              <w:jc w:val="center"/>
              <w:rPr>
                <w:rFonts w:hint="eastAsia" w:ascii="宋体" w:hAnsi="宋体" w:cs="宋体"/>
                <w:color w:val="auto"/>
              </w:rPr>
            </w:pPr>
          </w:p>
        </w:tc>
        <w:tc>
          <w:tcPr>
            <w:tcW w:w="811" w:type="pct"/>
            <w:vAlign w:val="center"/>
          </w:tcPr>
          <w:p>
            <w:pPr>
              <w:spacing w:line="360" w:lineRule="auto"/>
              <w:jc w:val="center"/>
              <w:rPr>
                <w:rFonts w:hint="eastAsia" w:ascii="宋体" w:hAnsi="宋体" w:cs="宋体"/>
                <w:color w:val="auto"/>
              </w:rPr>
            </w:pPr>
          </w:p>
        </w:tc>
        <w:tc>
          <w:tcPr>
            <w:tcW w:w="999" w:type="pct"/>
            <w:vAlign w:val="center"/>
          </w:tcPr>
          <w:p>
            <w:pPr>
              <w:spacing w:line="360" w:lineRule="auto"/>
              <w:jc w:val="center"/>
              <w:rPr>
                <w:rFonts w:hint="eastAsia" w:ascii="宋体" w:hAnsi="宋体" w:cs="宋体"/>
                <w:color w:val="auto"/>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538" w:type="pct"/>
            <w:vAlign w:val="center"/>
          </w:tcPr>
          <w:p>
            <w:pPr>
              <w:spacing w:line="360" w:lineRule="auto"/>
              <w:jc w:val="center"/>
              <w:rPr>
                <w:rFonts w:hint="eastAsia" w:ascii="宋体" w:hAnsi="宋体" w:cs="宋体"/>
                <w:color w:val="auto"/>
              </w:rPr>
            </w:pPr>
          </w:p>
        </w:tc>
        <w:tc>
          <w:tcPr>
            <w:tcW w:w="573" w:type="pct"/>
            <w:vAlign w:val="center"/>
          </w:tcPr>
          <w:p>
            <w:pPr>
              <w:spacing w:line="360" w:lineRule="auto"/>
              <w:jc w:val="center"/>
              <w:rPr>
                <w:rFonts w:hint="eastAsia" w:ascii="宋体" w:hAnsi="宋体" w:cs="宋体"/>
                <w:color w:val="auto"/>
              </w:rPr>
            </w:pPr>
          </w:p>
        </w:tc>
        <w:tc>
          <w:tcPr>
            <w:tcW w:w="378"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86" w:type="pct"/>
            <w:vAlign w:val="center"/>
          </w:tcPr>
          <w:p>
            <w:pPr>
              <w:spacing w:line="360" w:lineRule="auto"/>
              <w:jc w:val="center"/>
              <w:rPr>
                <w:rFonts w:hint="eastAsia" w:ascii="宋体" w:hAnsi="宋体" w:cs="宋体"/>
                <w:color w:val="auto"/>
              </w:rPr>
            </w:pPr>
          </w:p>
        </w:tc>
        <w:tc>
          <w:tcPr>
            <w:tcW w:w="811" w:type="pct"/>
            <w:vAlign w:val="center"/>
          </w:tcPr>
          <w:p>
            <w:pPr>
              <w:spacing w:line="360" w:lineRule="auto"/>
              <w:jc w:val="center"/>
              <w:rPr>
                <w:rFonts w:hint="eastAsia" w:ascii="宋体" w:hAnsi="宋体" w:cs="宋体"/>
                <w:color w:val="auto"/>
              </w:rPr>
            </w:pPr>
          </w:p>
        </w:tc>
        <w:tc>
          <w:tcPr>
            <w:tcW w:w="999" w:type="pct"/>
            <w:vAlign w:val="center"/>
          </w:tcPr>
          <w:p>
            <w:pPr>
              <w:spacing w:line="360" w:lineRule="auto"/>
              <w:jc w:val="center"/>
              <w:rPr>
                <w:rFonts w:hint="eastAsia" w:ascii="宋体" w:hAnsi="宋体" w:cs="宋体"/>
                <w:color w:val="auto"/>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538" w:type="pct"/>
            <w:vAlign w:val="center"/>
          </w:tcPr>
          <w:p>
            <w:pPr>
              <w:spacing w:line="360" w:lineRule="auto"/>
              <w:jc w:val="center"/>
              <w:rPr>
                <w:rFonts w:hint="eastAsia" w:ascii="宋体" w:hAnsi="宋体" w:cs="宋体"/>
                <w:color w:val="auto"/>
              </w:rPr>
            </w:pPr>
          </w:p>
        </w:tc>
        <w:tc>
          <w:tcPr>
            <w:tcW w:w="573" w:type="pct"/>
            <w:vAlign w:val="center"/>
          </w:tcPr>
          <w:p>
            <w:pPr>
              <w:spacing w:line="360" w:lineRule="auto"/>
              <w:jc w:val="center"/>
              <w:rPr>
                <w:rFonts w:hint="eastAsia" w:ascii="宋体" w:hAnsi="宋体" w:cs="宋体"/>
                <w:color w:val="auto"/>
              </w:rPr>
            </w:pPr>
          </w:p>
        </w:tc>
        <w:tc>
          <w:tcPr>
            <w:tcW w:w="378"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86" w:type="pct"/>
            <w:vAlign w:val="center"/>
          </w:tcPr>
          <w:p>
            <w:pPr>
              <w:spacing w:line="360" w:lineRule="auto"/>
              <w:jc w:val="center"/>
              <w:rPr>
                <w:rFonts w:hint="eastAsia" w:ascii="宋体" w:hAnsi="宋体" w:cs="宋体"/>
                <w:color w:val="auto"/>
              </w:rPr>
            </w:pPr>
          </w:p>
        </w:tc>
        <w:tc>
          <w:tcPr>
            <w:tcW w:w="811" w:type="pct"/>
            <w:vAlign w:val="center"/>
          </w:tcPr>
          <w:p>
            <w:pPr>
              <w:spacing w:line="360" w:lineRule="auto"/>
              <w:jc w:val="center"/>
              <w:rPr>
                <w:rFonts w:hint="eastAsia" w:ascii="宋体" w:hAnsi="宋体" w:cs="宋体"/>
                <w:color w:val="auto"/>
              </w:rPr>
            </w:pPr>
          </w:p>
        </w:tc>
        <w:tc>
          <w:tcPr>
            <w:tcW w:w="999" w:type="pct"/>
            <w:vAlign w:val="center"/>
          </w:tcPr>
          <w:p>
            <w:pPr>
              <w:spacing w:line="360" w:lineRule="auto"/>
              <w:jc w:val="center"/>
              <w:rPr>
                <w:rFonts w:hint="eastAsia" w:ascii="宋体" w:hAnsi="宋体" w:cs="宋体"/>
                <w:color w:val="auto"/>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PrEx>
        <w:trPr>
          <w:trHeight w:val="567" w:hRule="atLeast"/>
          <w:jc w:val="center"/>
        </w:trPr>
        <w:tc>
          <w:tcPr>
            <w:tcW w:w="538" w:type="pct"/>
            <w:vAlign w:val="center"/>
          </w:tcPr>
          <w:p>
            <w:pPr>
              <w:spacing w:line="360" w:lineRule="auto"/>
              <w:jc w:val="center"/>
              <w:rPr>
                <w:rFonts w:hint="eastAsia" w:ascii="宋体" w:hAnsi="宋体" w:cs="宋体"/>
                <w:color w:val="auto"/>
              </w:rPr>
            </w:pPr>
          </w:p>
        </w:tc>
        <w:tc>
          <w:tcPr>
            <w:tcW w:w="573" w:type="pct"/>
            <w:vAlign w:val="center"/>
          </w:tcPr>
          <w:p>
            <w:pPr>
              <w:spacing w:line="360" w:lineRule="auto"/>
              <w:jc w:val="center"/>
              <w:rPr>
                <w:rFonts w:hint="eastAsia" w:ascii="宋体" w:hAnsi="宋体" w:cs="宋体"/>
                <w:color w:val="auto"/>
              </w:rPr>
            </w:pPr>
          </w:p>
        </w:tc>
        <w:tc>
          <w:tcPr>
            <w:tcW w:w="378"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86" w:type="pct"/>
            <w:vAlign w:val="center"/>
          </w:tcPr>
          <w:p>
            <w:pPr>
              <w:spacing w:line="360" w:lineRule="auto"/>
              <w:jc w:val="center"/>
              <w:rPr>
                <w:rFonts w:hint="eastAsia" w:ascii="宋体" w:hAnsi="宋体" w:cs="宋体"/>
                <w:color w:val="auto"/>
              </w:rPr>
            </w:pPr>
          </w:p>
        </w:tc>
        <w:tc>
          <w:tcPr>
            <w:tcW w:w="811" w:type="pct"/>
            <w:vAlign w:val="center"/>
          </w:tcPr>
          <w:p>
            <w:pPr>
              <w:spacing w:line="360" w:lineRule="auto"/>
              <w:jc w:val="center"/>
              <w:rPr>
                <w:rFonts w:hint="eastAsia" w:ascii="宋体" w:hAnsi="宋体" w:cs="宋体"/>
                <w:color w:val="auto"/>
              </w:rPr>
            </w:pPr>
          </w:p>
        </w:tc>
        <w:tc>
          <w:tcPr>
            <w:tcW w:w="999" w:type="pct"/>
            <w:vAlign w:val="center"/>
          </w:tcPr>
          <w:p>
            <w:pPr>
              <w:spacing w:line="360" w:lineRule="auto"/>
              <w:jc w:val="center"/>
              <w:rPr>
                <w:rFonts w:hint="eastAsia" w:ascii="宋体" w:hAnsi="宋体" w:cs="宋体"/>
                <w:color w:val="auto"/>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538" w:type="pct"/>
            <w:vAlign w:val="center"/>
          </w:tcPr>
          <w:p>
            <w:pPr>
              <w:spacing w:line="360" w:lineRule="auto"/>
              <w:jc w:val="center"/>
              <w:rPr>
                <w:rFonts w:hint="eastAsia" w:ascii="宋体" w:hAnsi="宋体" w:cs="宋体"/>
                <w:color w:val="auto"/>
              </w:rPr>
            </w:pPr>
          </w:p>
        </w:tc>
        <w:tc>
          <w:tcPr>
            <w:tcW w:w="573" w:type="pct"/>
            <w:vAlign w:val="center"/>
          </w:tcPr>
          <w:p>
            <w:pPr>
              <w:spacing w:line="360" w:lineRule="auto"/>
              <w:jc w:val="center"/>
              <w:rPr>
                <w:rFonts w:hint="eastAsia" w:ascii="宋体" w:hAnsi="宋体" w:cs="宋体"/>
                <w:color w:val="auto"/>
              </w:rPr>
            </w:pPr>
          </w:p>
        </w:tc>
        <w:tc>
          <w:tcPr>
            <w:tcW w:w="378"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86" w:type="pct"/>
            <w:vAlign w:val="center"/>
          </w:tcPr>
          <w:p>
            <w:pPr>
              <w:spacing w:line="360" w:lineRule="auto"/>
              <w:jc w:val="center"/>
              <w:rPr>
                <w:rFonts w:hint="eastAsia" w:ascii="宋体" w:hAnsi="宋体" w:cs="宋体"/>
                <w:color w:val="auto"/>
              </w:rPr>
            </w:pPr>
          </w:p>
        </w:tc>
        <w:tc>
          <w:tcPr>
            <w:tcW w:w="811" w:type="pct"/>
            <w:vAlign w:val="center"/>
          </w:tcPr>
          <w:p>
            <w:pPr>
              <w:spacing w:line="360" w:lineRule="auto"/>
              <w:jc w:val="center"/>
              <w:rPr>
                <w:rFonts w:hint="eastAsia" w:ascii="宋体" w:hAnsi="宋体" w:cs="宋体"/>
                <w:color w:val="auto"/>
              </w:rPr>
            </w:pPr>
          </w:p>
        </w:tc>
        <w:tc>
          <w:tcPr>
            <w:tcW w:w="999" w:type="pct"/>
            <w:vAlign w:val="center"/>
          </w:tcPr>
          <w:p>
            <w:pPr>
              <w:spacing w:line="360" w:lineRule="auto"/>
              <w:jc w:val="center"/>
              <w:rPr>
                <w:rFonts w:hint="eastAsia" w:ascii="宋体" w:hAnsi="宋体" w:cs="宋体"/>
                <w:color w:val="auto"/>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538" w:type="pct"/>
            <w:vAlign w:val="center"/>
          </w:tcPr>
          <w:p>
            <w:pPr>
              <w:spacing w:line="360" w:lineRule="auto"/>
              <w:jc w:val="center"/>
              <w:rPr>
                <w:rFonts w:hint="eastAsia" w:ascii="宋体" w:hAnsi="宋体" w:cs="宋体"/>
                <w:color w:val="auto"/>
              </w:rPr>
            </w:pPr>
          </w:p>
        </w:tc>
        <w:tc>
          <w:tcPr>
            <w:tcW w:w="573" w:type="pct"/>
            <w:vAlign w:val="center"/>
          </w:tcPr>
          <w:p>
            <w:pPr>
              <w:spacing w:line="360" w:lineRule="auto"/>
              <w:jc w:val="center"/>
              <w:rPr>
                <w:rFonts w:hint="eastAsia" w:ascii="宋体" w:hAnsi="宋体" w:cs="宋体"/>
                <w:color w:val="auto"/>
              </w:rPr>
            </w:pPr>
          </w:p>
        </w:tc>
        <w:tc>
          <w:tcPr>
            <w:tcW w:w="378"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05" w:type="pct"/>
            <w:vAlign w:val="center"/>
          </w:tcPr>
          <w:p>
            <w:pPr>
              <w:spacing w:line="360" w:lineRule="auto"/>
              <w:jc w:val="center"/>
              <w:rPr>
                <w:rFonts w:hint="eastAsia" w:ascii="宋体" w:hAnsi="宋体" w:cs="宋体"/>
                <w:color w:val="auto"/>
              </w:rPr>
            </w:pPr>
          </w:p>
        </w:tc>
        <w:tc>
          <w:tcPr>
            <w:tcW w:w="486" w:type="pct"/>
            <w:vAlign w:val="center"/>
          </w:tcPr>
          <w:p>
            <w:pPr>
              <w:spacing w:line="360" w:lineRule="auto"/>
              <w:jc w:val="center"/>
              <w:rPr>
                <w:rFonts w:hint="eastAsia" w:ascii="宋体" w:hAnsi="宋体" w:cs="宋体"/>
                <w:color w:val="auto"/>
              </w:rPr>
            </w:pPr>
          </w:p>
        </w:tc>
        <w:tc>
          <w:tcPr>
            <w:tcW w:w="811" w:type="pct"/>
            <w:vAlign w:val="center"/>
          </w:tcPr>
          <w:p>
            <w:pPr>
              <w:spacing w:line="360" w:lineRule="auto"/>
              <w:jc w:val="center"/>
              <w:rPr>
                <w:rFonts w:hint="eastAsia" w:ascii="宋体" w:hAnsi="宋体" w:cs="宋体"/>
                <w:color w:val="auto"/>
              </w:rPr>
            </w:pPr>
          </w:p>
        </w:tc>
        <w:tc>
          <w:tcPr>
            <w:tcW w:w="999" w:type="pct"/>
            <w:vAlign w:val="center"/>
          </w:tcPr>
          <w:p>
            <w:pPr>
              <w:spacing w:line="360" w:lineRule="auto"/>
              <w:jc w:val="center"/>
              <w:rPr>
                <w:rFonts w:hint="eastAsia" w:ascii="宋体" w:hAnsi="宋体" w:cs="宋体"/>
                <w:color w:val="auto"/>
              </w:rPr>
            </w:pPr>
          </w:p>
        </w:tc>
      </w:tr>
    </w:tbl>
    <w:p>
      <w:pPr>
        <w:spacing w:line="360" w:lineRule="auto"/>
        <w:jc w:val="left"/>
        <w:rPr>
          <w:rFonts w:ascii="Times New Roman" w:hAnsi="Times New Roman" w:eastAsia="宋体" w:cs="宋体"/>
          <w:i/>
          <w:color w:val="auto"/>
          <w:szCs w:val="21"/>
        </w:rPr>
      </w:pPr>
      <w:r>
        <w:rPr>
          <w:rFonts w:hint="eastAsia" w:ascii="Times New Roman" w:hAnsi="Times New Roman" w:eastAsia="宋体" w:cs="宋体"/>
          <w:i/>
          <w:color w:val="auto"/>
          <w:szCs w:val="21"/>
        </w:rPr>
        <w:t>提供相关证明材料</w:t>
      </w:r>
    </w:p>
    <w:p>
      <w:pPr>
        <w:rPr>
          <w:color w:val="auto"/>
        </w:rPr>
      </w:pPr>
    </w:p>
    <w:p>
      <w:pPr>
        <w:rPr>
          <w:color w:val="auto"/>
        </w:rPr>
      </w:pPr>
      <w:r>
        <w:rPr>
          <w:color w:val="auto"/>
        </w:rPr>
        <w:br w:type="page"/>
      </w:r>
    </w:p>
    <w:p>
      <w:pPr>
        <w:pStyle w:val="10"/>
        <w:rPr>
          <w:color w:val="auto"/>
        </w:rPr>
      </w:pPr>
    </w:p>
    <w:p>
      <w:pPr>
        <w:outlineLvl w:val="2"/>
        <w:rPr>
          <w:rFonts w:hint="eastAsia" w:ascii="宋体" w:hAnsi="宋体" w:eastAsia="宋体"/>
          <w:b/>
          <w:color w:val="auto"/>
          <w:szCs w:val="21"/>
        </w:rPr>
      </w:pPr>
      <w:r>
        <w:rPr>
          <w:rFonts w:hint="eastAsia" w:ascii="宋体" w:hAnsi="宋体" w:eastAsia="宋体"/>
          <w:b/>
          <w:color w:val="auto"/>
          <w:szCs w:val="21"/>
        </w:rPr>
        <w:t>4.涉及的相关标准和规范：</w:t>
      </w:r>
    </w:p>
    <w:p>
      <w:pPr>
        <w:rPr>
          <w:rFonts w:hint="eastAsia" w:ascii="宋体" w:hAnsi="宋体" w:eastAsia="宋体"/>
          <w:b/>
          <w:color w:val="auto"/>
          <w:szCs w:val="21"/>
        </w:rPr>
      </w:pPr>
    </w:p>
    <w:p>
      <w:pPr>
        <w:spacing w:before="312" w:beforeLines="100" w:line="360" w:lineRule="auto"/>
        <w:jc w:val="left"/>
        <w:rPr>
          <w:rFonts w:ascii="Times New Roman" w:hAnsi="Times New Roman" w:eastAsia="宋体" w:cs="宋体"/>
          <w:b/>
          <w:bCs/>
          <w:color w:val="auto"/>
          <w:szCs w:val="21"/>
        </w:rPr>
      </w:pPr>
    </w:p>
    <w:p>
      <w:pPr>
        <w:spacing w:before="312" w:beforeLines="100" w:line="360" w:lineRule="auto"/>
        <w:jc w:val="left"/>
        <w:rPr>
          <w:rFonts w:ascii="Times New Roman" w:hAnsi="Times New Roman" w:eastAsia="宋体" w:cs="宋体"/>
          <w:b/>
          <w:bCs/>
          <w:color w:val="auto"/>
          <w:szCs w:val="21"/>
        </w:rPr>
      </w:pPr>
    </w:p>
    <w:p>
      <w:pPr>
        <w:spacing w:before="312" w:beforeLines="100" w:line="360" w:lineRule="auto"/>
        <w:jc w:val="left"/>
        <w:rPr>
          <w:rFonts w:ascii="Times New Roman" w:hAnsi="Times New Roman" w:eastAsia="宋体" w:cs="宋体"/>
          <w:b/>
          <w:bCs/>
          <w:color w:val="auto"/>
          <w:szCs w:val="21"/>
        </w:rPr>
      </w:pPr>
    </w:p>
    <w:p>
      <w:pPr>
        <w:rPr>
          <w:rFonts w:ascii="Times New Roman" w:hAnsi="Times New Roman" w:eastAsia="宋体" w:cs="宋体"/>
          <w:b/>
          <w:bCs/>
          <w:color w:val="auto"/>
          <w:szCs w:val="21"/>
        </w:rPr>
      </w:pPr>
      <w:r>
        <w:rPr>
          <w:rFonts w:hint="eastAsia" w:ascii="Times New Roman" w:hAnsi="Times New Roman" w:eastAsia="宋体" w:cs="宋体"/>
          <w:b/>
          <w:bCs/>
          <w:color w:val="auto"/>
          <w:szCs w:val="21"/>
        </w:rPr>
        <w:br w:type="page"/>
      </w:r>
    </w:p>
    <w:p>
      <w:pPr>
        <w:outlineLvl w:val="2"/>
        <w:rPr>
          <w:rFonts w:hint="eastAsia" w:ascii="宋体" w:hAnsi="宋体" w:eastAsia="宋体"/>
          <w:b/>
          <w:color w:val="auto"/>
          <w:szCs w:val="21"/>
        </w:rPr>
      </w:pPr>
      <w:r>
        <w:rPr>
          <w:rFonts w:hint="eastAsia" w:ascii="宋体" w:hAnsi="宋体" w:eastAsia="宋体"/>
          <w:b/>
          <w:color w:val="auto"/>
          <w:szCs w:val="21"/>
        </w:rPr>
        <w:t>5.项目报价情况</w:t>
      </w:r>
    </w:p>
    <w:p>
      <w:pPr>
        <w:rPr>
          <w:color w:val="auto"/>
        </w:rPr>
      </w:pPr>
    </w:p>
    <w:tbl>
      <w:tblPr>
        <w:tblStyle w:val="28"/>
        <w:tblW w:w="8136"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02"/>
        <w:gridCol w:w="1250"/>
        <w:gridCol w:w="3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3802" w:type="dxa"/>
            <w:shd w:val="clear" w:color="auto" w:fill="EEECE1"/>
            <w:vAlign w:val="center"/>
          </w:tcPr>
          <w:p>
            <w:pPr>
              <w:jc w:val="center"/>
              <w:rPr>
                <w:rFonts w:hint="eastAsia" w:ascii="宋体" w:hAnsi="宋体" w:eastAsia="宋体" w:cs="Times New Roman"/>
                <w:b/>
                <w:color w:val="auto"/>
                <w:szCs w:val="21"/>
              </w:rPr>
            </w:pPr>
            <w:r>
              <w:rPr>
                <w:rFonts w:ascii="宋体" w:hAnsi="宋体" w:eastAsia="宋体" w:cs="Times New Roman"/>
                <w:b/>
                <w:color w:val="auto"/>
                <w:szCs w:val="21"/>
              </w:rPr>
              <w:t>采购内容</w:t>
            </w:r>
          </w:p>
        </w:tc>
        <w:tc>
          <w:tcPr>
            <w:tcW w:w="1250" w:type="dxa"/>
            <w:shd w:val="clear" w:color="auto" w:fill="EEECE1"/>
            <w:vAlign w:val="center"/>
          </w:tcPr>
          <w:p>
            <w:pPr>
              <w:jc w:val="center"/>
              <w:rPr>
                <w:rFonts w:hint="eastAsia" w:ascii="宋体" w:hAnsi="宋体" w:eastAsia="宋体" w:cs="Times New Roman"/>
                <w:b/>
                <w:color w:val="auto"/>
                <w:szCs w:val="21"/>
              </w:rPr>
            </w:pPr>
            <w:r>
              <w:rPr>
                <w:rFonts w:ascii="宋体" w:hAnsi="宋体" w:eastAsia="宋体" w:cs="Times New Roman"/>
                <w:b/>
                <w:color w:val="auto"/>
                <w:szCs w:val="21"/>
              </w:rPr>
              <w:t>数量</w:t>
            </w:r>
          </w:p>
        </w:tc>
        <w:tc>
          <w:tcPr>
            <w:tcW w:w="3084" w:type="dxa"/>
            <w:shd w:val="clear" w:color="auto" w:fill="EEECE1"/>
            <w:vAlign w:val="center"/>
          </w:tcPr>
          <w:p>
            <w:pPr>
              <w:jc w:val="center"/>
              <w:rPr>
                <w:rFonts w:hint="eastAsia" w:ascii="宋体" w:hAnsi="宋体" w:eastAsia="宋体" w:cs="Times New Roman"/>
                <w:b/>
                <w:color w:val="auto"/>
                <w:szCs w:val="21"/>
              </w:rPr>
            </w:pPr>
            <w:r>
              <w:rPr>
                <w:rFonts w:hint="eastAsia" w:ascii="宋体" w:hAnsi="宋体" w:eastAsia="宋体" w:cs="Times New Roman"/>
                <w:b/>
                <w:color w:val="auto"/>
                <w:szCs w:val="21"/>
              </w:rPr>
              <w:t>投标报价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2" w:hRule="atLeast"/>
        </w:trPr>
        <w:tc>
          <w:tcPr>
            <w:tcW w:w="3802" w:type="dxa"/>
            <w:vAlign w:val="center"/>
          </w:tcPr>
          <w:p>
            <w:pPr>
              <w:jc w:val="center"/>
              <w:rPr>
                <w:rFonts w:hint="eastAsia" w:ascii="宋体" w:hAnsi="宋体" w:eastAsia="宋体" w:cs="Times New Roman"/>
                <w:bCs/>
                <w:color w:val="auto"/>
                <w:szCs w:val="21"/>
              </w:rPr>
            </w:pPr>
            <w:r>
              <w:rPr>
                <w:rFonts w:ascii="宋体" w:hAnsi="宋体" w:eastAsia="宋体" w:cs="Times New Roman"/>
                <w:b/>
                <w:bCs/>
                <w:color w:val="auto"/>
                <w:szCs w:val="21"/>
              </w:rPr>
              <w:t>OLED 喷印环境维持系统</w:t>
            </w:r>
          </w:p>
        </w:tc>
        <w:tc>
          <w:tcPr>
            <w:tcW w:w="1250" w:type="dxa"/>
            <w:vAlign w:val="center"/>
          </w:tcPr>
          <w:p>
            <w:pPr>
              <w:jc w:val="center"/>
              <w:rPr>
                <w:rFonts w:hint="eastAsia" w:ascii="宋体" w:hAnsi="宋体" w:eastAsia="宋体" w:cs="Times New Roman"/>
                <w:bCs/>
                <w:color w:val="auto"/>
                <w:szCs w:val="21"/>
              </w:rPr>
            </w:pPr>
            <w:r>
              <w:rPr>
                <w:rFonts w:ascii="宋体" w:hAnsi="宋体" w:eastAsia="宋体" w:cs="Times New Roman"/>
                <w:bCs/>
                <w:color w:val="auto"/>
                <w:szCs w:val="21"/>
              </w:rPr>
              <w:t>一套</w:t>
            </w:r>
          </w:p>
        </w:tc>
        <w:tc>
          <w:tcPr>
            <w:tcW w:w="3084" w:type="dxa"/>
            <w:vAlign w:val="center"/>
          </w:tcPr>
          <w:p>
            <w:pPr>
              <w:keepNext/>
              <w:adjustRightInd w:val="0"/>
              <w:spacing w:before="60" w:after="60" w:line="300" w:lineRule="auto"/>
              <w:jc w:val="center"/>
              <w:textAlignment w:val="center"/>
              <w:rPr>
                <w:rFonts w:hint="eastAsia" w:ascii="宋体" w:hAnsi="宋体" w:eastAsia="宋体" w:cs="Times New Roman"/>
                <w:color w:val="auto"/>
                <w:szCs w:val="24"/>
              </w:rPr>
            </w:pPr>
            <w:r>
              <w:rPr>
                <w:rFonts w:ascii="宋体" w:hAnsi="宋体" w:eastAsia="宋体" w:cs="Times New Roman"/>
                <w:color w:val="auto"/>
                <w:szCs w:val="21"/>
              </w:rPr>
              <w:t>人民币</w:t>
            </w:r>
            <w:r>
              <w:rPr>
                <w:rFonts w:hint="eastAsia" w:ascii="宋体" w:hAnsi="宋体" w:eastAsia="宋体" w:cs="Times New Roman"/>
                <w:color w:val="auto"/>
                <w:szCs w:val="21"/>
              </w:rPr>
              <w:t xml:space="preserve">    </w:t>
            </w:r>
            <w:r>
              <w:rPr>
                <w:rFonts w:ascii="宋体" w:hAnsi="宋体" w:eastAsia="宋体" w:cs="Times New Roman"/>
                <w:color w:val="auto"/>
                <w:szCs w:val="21"/>
              </w:rPr>
              <w:t>万元（含税价）</w:t>
            </w:r>
          </w:p>
        </w:tc>
      </w:tr>
    </w:tbl>
    <w:p>
      <w:pPr>
        <w:rPr>
          <w:color w:val="auto"/>
        </w:rPr>
      </w:pPr>
    </w:p>
    <w:p>
      <w:pPr>
        <w:rPr>
          <w:color w:val="auto"/>
        </w:rPr>
      </w:pPr>
    </w:p>
    <w:p>
      <w:pPr>
        <w:rPr>
          <w:color w:val="auto"/>
        </w:rPr>
      </w:pPr>
      <w:r>
        <w:rPr>
          <w:color w:val="auto"/>
        </w:rPr>
        <w:br w:type="page"/>
      </w:r>
    </w:p>
    <w:p>
      <w:pPr>
        <w:spacing w:line="360" w:lineRule="auto"/>
        <w:jc w:val="left"/>
        <w:outlineLvl w:val="2"/>
        <w:rPr>
          <w:rFonts w:ascii="Times New Roman" w:hAnsi="Times New Roman" w:eastAsia="宋体" w:cs="宋体"/>
          <w:b/>
          <w:bCs/>
          <w:color w:val="auto"/>
          <w:szCs w:val="21"/>
        </w:rPr>
      </w:pPr>
      <w:r>
        <w:rPr>
          <w:rFonts w:hint="eastAsia" w:ascii="Times New Roman" w:hAnsi="Times New Roman" w:eastAsia="宋体" w:cs="宋体"/>
          <w:b/>
          <w:bCs/>
          <w:color w:val="auto"/>
          <w:szCs w:val="21"/>
        </w:rPr>
        <w:t>四、市场供给</w:t>
      </w:r>
      <w:r>
        <w:rPr>
          <w:rFonts w:hint="eastAsia" w:ascii="仿宋" w:hAnsi="仿宋" w:eastAsia="仿宋"/>
          <w:bCs/>
          <w:i/>
          <w:iCs/>
          <w:color w:val="auto"/>
          <w:sz w:val="24"/>
        </w:rPr>
        <w:t>（供应商应当选择真实、有效的信息，信息来源应当有依据且符合当前市场实际情况，不得随意编造。）</w:t>
      </w:r>
    </w:p>
    <w:p>
      <w:pPr>
        <w:rPr>
          <w:rFonts w:hint="eastAsia" w:ascii="宋体" w:hAnsi="宋体" w:eastAsia="宋体"/>
          <w:b/>
          <w:color w:val="auto"/>
          <w:szCs w:val="21"/>
        </w:rPr>
      </w:pPr>
      <w:r>
        <w:rPr>
          <w:rFonts w:hint="eastAsia" w:ascii="宋体" w:hAnsi="宋体" w:eastAsia="宋体"/>
          <w:b/>
          <w:color w:val="auto"/>
          <w:szCs w:val="21"/>
        </w:rPr>
        <w:t>1.市场竞争程度：</w:t>
      </w:r>
    </w:p>
    <w:p>
      <w:pPr>
        <w:rPr>
          <w:rFonts w:hint="eastAsia" w:ascii="宋体" w:hAnsi="宋体" w:eastAsia="宋体"/>
          <w:color w:val="auto"/>
          <w:szCs w:val="21"/>
        </w:rPr>
      </w:pPr>
    </w:p>
    <w:p>
      <w:pPr>
        <w:rPr>
          <w:rFonts w:hint="eastAsia" w:ascii="宋体" w:hAnsi="宋体" w:eastAsia="宋体"/>
          <w:color w:val="auto"/>
          <w:szCs w:val="21"/>
        </w:rPr>
      </w:pPr>
    </w:p>
    <w:p>
      <w:pPr>
        <w:rPr>
          <w:rFonts w:hint="eastAsia" w:ascii="宋体" w:hAnsi="宋体" w:eastAsia="宋体"/>
          <w:color w:val="auto"/>
          <w:szCs w:val="21"/>
        </w:rPr>
      </w:pPr>
    </w:p>
    <w:p>
      <w:pPr>
        <w:rPr>
          <w:rFonts w:hint="eastAsia" w:ascii="宋体" w:hAnsi="宋体" w:eastAsia="宋体"/>
          <w:color w:val="auto"/>
          <w:szCs w:val="21"/>
        </w:rPr>
      </w:pPr>
    </w:p>
    <w:p>
      <w:pPr>
        <w:rPr>
          <w:rFonts w:hint="eastAsia" w:ascii="宋体" w:hAnsi="宋体" w:eastAsia="宋体"/>
          <w:color w:val="auto"/>
          <w:szCs w:val="21"/>
        </w:rPr>
      </w:pPr>
    </w:p>
    <w:p>
      <w:pPr>
        <w:rPr>
          <w:rFonts w:hint="eastAsia" w:ascii="宋体" w:hAnsi="宋体" w:eastAsia="宋体"/>
          <w:color w:val="auto"/>
          <w:szCs w:val="21"/>
        </w:rPr>
      </w:pPr>
    </w:p>
    <w:p>
      <w:pPr>
        <w:rPr>
          <w:rFonts w:hint="eastAsia" w:ascii="宋体" w:hAnsi="宋体" w:eastAsia="宋体"/>
          <w:color w:val="auto"/>
          <w:szCs w:val="21"/>
        </w:rPr>
      </w:pPr>
    </w:p>
    <w:p>
      <w:pPr>
        <w:rPr>
          <w:rFonts w:hint="eastAsia" w:ascii="宋体" w:hAnsi="宋体" w:eastAsia="宋体"/>
          <w:color w:val="auto"/>
          <w:szCs w:val="21"/>
        </w:rPr>
      </w:pPr>
    </w:p>
    <w:p>
      <w:pPr>
        <w:rPr>
          <w:rFonts w:hint="eastAsia" w:ascii="宋体" w:hAnsi="宋体" w:eastAsia="宋体"/>
          <w:color w:val="auto"/>
          <w:szCs w:val="21"/>
        </w:rPr>
      </w:pPr>
    </w:p>
    <w:p>
      <w:pPr>
        <w:rPr>
          <w:rFonts w:hint="eastAsia" w:ascii="宋体" w:hAnsi="宋体" w:eastAsia="宋体"/>
          <w:b/>
          <w:color w:val="auto"/>
          <w:szCs w:val="21"/>
        </w:rPr>
      </w:pPr>
      <w:r>
        <w:rPr>
          <w:rFonts w:hint="eastAsia" w:ascii="宋体" w:hAnsi="宋体" w:eastAsia="宋体"/>
          <w:b/>
          <w:color w:val="auto"/>
          <w:szCs w:val="21"/>
        </w:rPr>
        <w:t>2.价格水平或价格构成：</w:t>
      </w:r>
    </w:p>
    <w:p>
      <w:pPr>
        <w:rPr>
          <w:rFonts w:hint="eastAsia" w:ascii="宋体" w:hAnsi="宋体" w:eastAsia="宋体"/>
          <w:color w:val="auto"/>
          <w:szCs w:val="21"/>
        </w:rPr>
      </w:pPr>
    </w:p>
    <w:p>
      <w:pPr>
        <w:rPr>
          <w:rFonts w:hint="eastAsia" w:ascii="宋体" w:hAnsi="宋体" w:eastAsia="宋体"/>
          <w:color w:val="auto"/>
          <w:szCs w:val="21"/>
        </w:rPr>
      </w:pPr>
    </w:p>
    <w:p>
      <w:pPr>
        <w:rPr>
          <w:rFonts w:hint="eastAsia" w:ascii="宋体" w:hAnsi="宋体" w:eastAsia="宋体"/>
          <w:color w:val="auto"/>
          <w:szCs w:val="21"/>
        </w:rPr>
      </w:pPr>
    </w:p>
    <w:p>
      <w:pPr>
        <w:rPr>
          <w:rFonts w:hint="eastAsia" w:ascii="宋体" w:hAnsi="宋体" w:eastAsia="宋体"/>
          <w:color w:val="auto"/>
          <w:szCs w:val="21"/>
        </w:rPr>
      </w:pPr>
    </w:p>
    <w:p>
      <w:pPr>
        <w:rPr>
          <w:rFonts w:hint="eastAsia" w:ascii="宋体" w:hAnsi="宋体" w:eastAsia="宋体"/>
          <w:color w:val="auto"/>
          <w:szCs w:val="21"/>
        </w:rPr>
      </w:pPr>
    </w:p>
    <w:p>
      <w:pPr>
        <w:rPr>
          <w:rFonts w:hint="eastAsia" w:ascii="宋体" w:hAnsi="宋体" w:eastAsia="宋体"/>
          <w:color w:val="auto"/>
          <w:szCs w:val="21"/>
        </w:rPr>
      </w:pPr>
    </w:p>
    <w:p>
      <w:pPr>
        <w:rPr>
          <w:rFonts w:hint="eastAsia" w:ascii="宋体" w:hAnsi="宋体" w:eastAsia="宋体"/>
          <w:color w:val="auto"/>
          <w:szCs w:val="21"/>
        </w:rPr>
      </w:pPr>
    </w:p>
    <w:p>
      <w:pPr>
        <w:rPr>
          <w:rFonts w:hint="eastAsia" w:ascii="宋体" w:hAnsi="宋体" w:eastAsia="宋体"/>
          <w:color w:val="auto"/>
          <w:szCs w:val="21"/>
        </w:rPr>
      </w:pPr>
    </w:p>
    <w:p>
      <w:pPr>
        <w:rPr>
          <w:rFonts w:hint="eastAsia" w:ascii="宋体" w:hAnsi="宋体" w:eastAsia="宋体"/>
          <w:b/>
          <w:color w:val="auto"/>
          <w:szCs w:val="21"/>
        </w:rPr>
      </w:pPr>
      <w:r>
        <w:rPr>
          <w:rFonts w:hint="eastAsia" w:ascii="宋体" w:hAnsi="宋体" w:eastAsia="宋体"/>
          <w:b/>
          <w:color w:val="auto"/>
          <w:szCs w:val="21"/>
        </w:rPr>
        <w:t>3.潜在供应商的数量、履约能力、售后服务能力：</w:t>
      </w:r>
    </w:p>
    <w:p>
      <w:pPr>
        <w:spacing w:before="312" w:beforeLines="100" w:line="360" w:lineRule="auto"/>
        <w:jc w:val="left"/>
        <w:rPr>
          <w:rFonts w:ascii="Times New Roman" w:hAnsi="Times New Roman" w:eastAsia="宋体" w:cs="宋体"/>
          <w:b/>
          <w:bCs/>
          <w:color w:val="auto"/>
          <w:szCs w:val="21"/>
        </w:rPr>
      </w:pPr>
      <w:r>
        <w:rPr>
          <w:rFonts w:hint="eastAsia" w:ascii="Times New Roman" w:hAnsi="Times New Roman" w:eastAsia="宋体" w:cs="宋体"/>
          <w:b/>
          <w:bCs/>
          <w:color w:val="auto"/>
          <w:szCs w:val="21"/>
        </w:rPr>
        <w:t>（1）</w:t>
      </w:r>
      <w:r>
        <w:rPr>
          <w:rFonts w:hint="eastAsia" w:ascii="宋体" w:hAnsi="宋体" w:eastAsia="宋体"/>
          <w:b/>
          <w:color w:val="auto"/>
          <w:szCs w:val="21"/>
        </w:rPr>
        <w:t>潜在供应商的数量</w:t>
      </w:r>
    </w:p>
    <w:p>
      <w:pPr>
        <w:spacing w:before="312" w:beforeLines="100" w:line="360" w:lineRule="auto"/>
        <w:jc w:val="left"/>
        <w:rPr>
          <w:rFonts w:ascii="Times New Roman" w:hAnsi="Times New Roman" w:eastAsia="宋体" w:cs="宋体"/>
          <w:b/>
          <w:bCs/>
          <w:color w:val="auto"/>
          <w:szCs w:val="21"/>
        </w:rPr>
      </w:pPr>
    </w:p>
    <w:bookmarkEnd w:id="26"/>
    <w:bookmarkEnd w:id="27"/>
    <w:p>
      <w:pPr>
        <w:spacing w:line="360" w:lineRule="auto"/>
        <w:jc w:val="left"/>
        <w:rPr>
          <w:rFonts w:ascii="Times New Roman" w:hAnsi="Times New Roman" w:eastAsia="宋体" w:cs="宋体"/>
          <w:b/>
          <w:bCs/>
          <w:color w:val="auto"/>
          <w:szCs w:val="21"/>
        </w:rPr>
      </w:pPr>
      <w:bookmarkStart w:id="28" w:name="_Toc116987914"/>
      <w:bookmarkStart w:id="29" w:name="_Toc116988038"/>
    </w:p>
    <w:p>
      <w:pPr>
        <w:spacing w:line="360" w:lineRule="auto"/>
        <w:jc w:val="left"/>
        <w:rPr>
          <w:rFonts w:ascii="Times New Roman" w:hAnsi="Times New Roman" w:eastAsia="宋体" w:cs="宋体"/>
          <w:b/>
          <w:bCs/>
          <w:color w:val="auto"/>
          <w:szCs w:val="21"/>
        </w:rPr>
      </w:pPr>
    </w:p>
    <w:p>
      <w:pPr>
        <w:spacing w:line="360" w:lineRule="auto"/>
        <w:jc w:val="left"/>
        <w:rPr>
          <w:rFonts w:ascii="Times New Roman" w:hAnsi="Times New Roman" w:eastAsia="宋体" w:cs="宋体"/>
          <w:b/>
          <w:bCs/>
          <w:color w:val="auto"/>
          <w:szCs w:val="21"/>
        </w:rPr>
      </w:pPr>
      <w:r>
        <w:rPr>
          <w:rFonts w:hint="eastAsia" w:ascii="Times New Roman" w:hAnsi="Times New Roman" w:eastAsia="宋体" w:cs="宋体"/>
          <w:b/>
          <w:bCs/>
          <w:color w:val="auto"/>
          <w:szCs w:val="21"/>
        </w:rPr>
        <w:t>（2）供应商的</w:t>
      </w:r>
      <w:r>
        <w:rPr>
          <w:rFonts w:hint="eastAsia" w:ascii="宋体" w:hAnsi="宋体" w:eastAsia="宋体"/>
          <w:b/>
          <w:color w:val="auto"/>
          <w:szCs w:val="21"/>
        </w:rPr>
        <w:t>履约能力、售后服务能力</w:t>
      </w:r>
    </w:p>
    <w:p>
      <w:pPr>
        <w:spacing w:line="360" w:lineRule="auto"/>
        <w:jc w:val="left"/>
        <w:rPr>
          <w:rFonts w:ascii="Times New Roman" w:hAnsi="Times New Roman" w:eastAsia="宋体" w:cs="宋体"/>
          <w:b/>
          <w:bCs/>
          <w:color w:val="auto"/>
          <w:szCs w:val="21"/>
        </w:rPr>
      </w:pPr>
    </w:p>
    <w:p>
      <w:pPr>
        <w:spacing w:line="360" w:lineRule="auto"/>
        <w:jc w:val="left"/>
        <w:rPr>
          <w:rFonts w:ascii="Times New Roman" w:hAnsi="Times New Roman" w:eastAsia="宋体" w:cs="宋体"/>
          <w:b/>
          <w:bCs/>
          <w:color w:val="auto"/>
          <w:szCs w:val="21"/>
        </w:rPr>
      </w:pPr>
    </w:p>
    <w:p>
      <w:pPr>
        <w:rPr>
          <w:rFonts w:ascii="Times New Roman" w:hAnsi="Times New Roman" w:eastAsia="宋体" w:cs="宋体"/>
          <w:b/>
          <w:bCs/>
          <w:color w:val="auto"/>
          <w:szCs w:val="21"/>
        </w:rPr>
      </w:pPr>
      <w:r>
        <w:rPr>
          <w:rFonts w:ascii="Times New Roman" w:hAnsi="Times New Roman" w:eastAsia="宋体" w:cs="宋体"/>
          <w:b/>
          <w:bCs/>
          <w:color w:val="auto"/>
          <w:szCs w:val="21"/>
        </w:rPr>
        <w:br w:type="page"/>
      </w:r>
    </w:p>
    <w:p>
      <w:pPr>
        <w:spacing w:line="360" w:lineRule="auto"/>
        <w:jc w:val="left"/>
        <w:outlineLvl w:val="2"/>
        <w:rPr>
          <w:rFonts w:ascii="Times New Roman" w:hAnsi="Times New Roman" w:eastAsia="宋体" w:cs="宋体"/>
          <w:b/>
          <w:bCs/>
          <w:color w:val="auto"/>
          <w:szCs w:val="21"/>
        </w:rPr>
      </w:pPr>
      <w:r>
        <w:rPr>
          <w:rFonts w:hint="eastAsia" w:ascii="Times New Roman" w:hAnsi="Times New Roman" w:eastAsia="宋体" w:cs="宋体"/>
          <w:b/>
          <w:bCs/>
          <w:color w:val="auto"/>
          <w:szCs w:val="21"/>
        </w:rPr>
        <w:t>五、对本项目拟实施内容的可满足程度</w:t>
      </w:r>
      <w:bookmarkEnd w:id="28"/>
      <w:bookmarkEnd w:id="29"/>
    </w:p>
    <w:tbl>
      <w:tblPr>
        <w:tblStyle w:val="29"/>
        <w:tblW w:w="5424" w:type="pct"/>
        <w:tblInd w:w="-2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0"/>
        <w:gridCol w:w="1806"/>
        <w:gridCol w:w="2420"/>
        <w:gridCol w:w="2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168" w:type="pct"/>
            <w:vAlign w:val="center"/>
          </w:tcPr>
          <w:p>
            <w:pPr>
              <w:spacing w:line="360" w:lineRule="auto"/>
              <w:jc w:val="center"/>
              <w:rPr>
                <w:rFonts w:hint="eastAsia" w:eastAsia="宋体" w:cs="仿宋_GB2312" w:asciiTheme="minorEastAsia" w:hAnsiTheme="minorEastAsia"/>
                <w:b/>
                <w:bCs/>
                <w:color w:val="auto"/>
                <w:kern w:val="0"/>
                <w:szCs w:val="21"/>
              </w:rPr>
            </w:pPr>
            <w:bookmarkStart w:id="30" w:name="_Toc116987915"/>
            <w:bookmarkStart w:id="31" w:name="_Toc116988039"/>
            <w:r>
              <w:rPr>
                <w:rFonts w:eastAsia="宋体" w:cs="仿宋_GB2312" w:asciiTheme="minorEastAsia" w:hAnsiTheme="minorEastAsia"/>
                <w:b/>
                <w:bCs/>
                <w:color w:val="auto"/>
                <w:kern w:val="0"/>
                <w:szCs w:val="21"/>
              </w:rPr>
              <w:t>子任务</w:t>
            </w:r>
          </w:p>
        </w:tc>
        <w:tc>
          <w:tcPr>
            <w:tcW w:w="977" w:type="pct"/>
            <w:vAlign w:val="center"/>
          </w:tcPr>
          <w:p>
            <w:pPr>
              <w:spacing w:line="360" w:lineRule="auto"/>
              <w:jc w:val="center"/>
              <w:rPr>
                <w:rFonts w:hint="eastAsia" w:eastAsia="宋体" w:cs="仿宋_GB2312" w:asciiTheme="minorEastAsia" w:hAnsiTheme="minorEastAsia"/>
                <w:b/>
                <w:bCs/>
                <w:color w:val="auto"/>
                <w:kern w:val="0"/>
                <w:szCs w:val="21"/>
              </w:rPr>
            </w:pPr>
            <w:r>
              <w:rPr>
                <w:rFonts w:eastAsia="宋体" w:cs="仿宋_GB2312" w:asciiTheme="minorEastAsia" w:hAnsiTheme="minorEastAsia"/>
                <w:b/>
                <w:bCs/>
                <w:color w:val="auto"/>
                <w:kern w:val="0"/>
                <w:szCs w:val="21"/>
              </w:rPr>
              <w:t>实施内容</w:t>
            </w:r>
          </w:p>
        </w:tc>
        <w:tc>
          <w:tcPr>
            <w:tcW w:w="1309" w:type="pct"/>
            <w:vAlign w:val="center"/>
          </w:tcPr>
          <w:p>
            <w:pPr>
              <w:spacing w:line="360" w:lineRule="auto"/>
              <w:jc w:val="center"/>
              <w:rPr>
                <w:rFonts w:hint="eastAsia" w:eastAsia="宋体" w:cs="仿宋_GB2312" w:asciiTheme="minorEastAsia" w:hAnsiTheme="minorEastAsia"/>
                <w:b/>
                <w:bCs/>
                <w:color w:val="auto"/>
                <w:kern w:val="0"/>
                <w:szCs w:val="21"/>
              </w:rPr>
            </w:pPr>
            <w:r>
              <w:rPr>
                <w:rFonts w:eastAsia="宋体" w:cs="仿宋_GB2312" w:asciiTheme="minorEastAsia" w:hAnsiTheme="minorEastAsia"/>
                <w:b/>
                <w:bCs/>
                <w:color w:val="auto"/>
                <w:kern w:val="0"/>
                <w:szCs w:val="21"/>
              </w:rPr>
              <w:t>可满足程度</w:t>
            </w:r>
          </w:p>
          <w:p>
            <w:pPr>
              <w:spacing w:line="360" w:lineRule="auto"/>
              <w:jc w:val="center"/>
              <w:rPr>
                <w:rFonts w:hint="eastAsia" w:eastAsia="宋体" w:cs="仿宋_GB2312" w:asciiTheme="minorEastAsia" w:hAnsiTheme="minorEastAsia"/>
                <w:b/>
                <w:bCs/>
                <w:color w:val="auto"/>
                <w:kern w:val="0"/>
                <w:szCs w:val="21"/>
              </w:rPr>
            </w:pPr>
            <w:r>
              <w:rPr>
                <w:rFonts w:hint="eastAsia" w:eastAsia="宋体" w:cs="仿宋_GB2312" w:asciiTheme="minorEastAsia" w:hAnsiTheme="minorEastAsia"/>
                <w:b/>
                <w:bCs/>
                <w:i/>
                <w:color w:val="auto"/>
                <w:kern w:val="0"/>
                <w:szCs w:val="21"/>
              </w:rPr>
              <w:t>（结合自身实际，在对应括号打“√”）</w:t>
            </w:r>
          </w:p>
        </w:tc>
        <w:tc>
          <w:tcPr>
            <w:tcW w:w="1546" w:type="pct"/>
            <w:vAlign w:val="center"/>
          </w:tcPr>
          <w:p>
            <w:pPr>
              <w:spacing w:line="360" w:lineRule="auto"/>
              <w:jc w:val="center"/>
              <w:rPr>
                <w:rFonts w:hint="eastAsia" w:eastAsia="宋体" w:cs="仿宋_GB2312" w:asciiTheme="minorEastAsia" w:hAnsiTheme="minorEastAsia"/>
                <w:b/>
                <w:bCs/>
                <w:color w:val="auto"/>
                <w:kern w:val="0"/>
                <w:szCs w:val="21"/>
              </w:rPr>
            </w:pPr>
            <w:r>
              <w:rPr>
                <w:rFonts w:eastAsia="宋体" w:cs="仿宋_GB2312" w:asciiTheme="minorEastAsia" w:hAnsiTheme="minorEastAsia"/>
                <w:b/>
                <w:bCs/>
                <w:color w:val="auto"/>
                <w:kern w:val="0"/>
                <w:szCs w:val="21"/>
              </w:rPr>
              <w:t>不能满足内容简述及原因</w:t>
            </w:r>
          </w:p>
          <w:p>
            <w:pPr>
              <w:spacing w:line="360" w:lineRule="auto"/>
              <w:jc w:val="center"/>
              <w:rPr>
                <w:rFonts w:hint="eastAsia" w:eastAsia="宋体" w:cs="仿宋_GB2312" w:asciiTheme="minorEastAsia" w:hAnsiTheme="minorEastAsia"/>
                <w:b/>
                <w:bCs/>
                <w:i/>
                <w:color w:val="auto"/>
                <w:kern w:val="0"/>
                <w:szCs w:val="21"/>
              </w:rPr>
            </w:pPr>
            <w:r>
              <w:rPr>
                <w:rFonts w:hint="eastAsia" w:eastAsia="宋体" w:cs="仿宋_GB2312" w:asciiTheme="minorEastAsia" w:hAnsiTheme="minorEastAsia"/>
                <w:b/>
                <w:bCs/>
                <w:i/>
                <w:color w:val="auto"/>
                <w:kern w:val="0"/>
                <w:szCs w:val="21"/>
              </w:rPr>
              <w:t>（</w:t>
            </w:r>
            <w:r>
              <w:rPr>
                <w:rFonts w:eastAsia="宋体" w:cs="仿宋_GB2312" w:asciiTheme="minorEastAsia" w:hAnsiTheme="minorEastAsia"/>
                <w:b/>
                <w:bCs/>
                <w:i/>
                <w:color w:val="auto"/>
                <w:kern w:val="0"/>
                <w:szCs w:val="21"/>
                <w:u w:val="single"/>
              </w:rPr>
              <w:t>列出不能满足的内容并说明原因</w:t>
            </w:r>
            <w:r>
              <w:rPr>
                <w:rFonts w:hint="eastAsia" w:eastAsia="宋体" w:cs="仿宋_GB2312" w:asciiTheme="minorEastAsia" w:hAnsiTheme="minorEastAsia"/>
                <w:b/>
                <w:bCs/>
                <w:i/>
                <w:color w:val="auto"/>
                <w:kern w:val="0"/>
                <w:szCs w:val="21"/>
                <w:u w:val="single"/>
              </w:rPr>
              <w:t>，</w:t>
            </w:r>
            <w:r>
              <w:rPr>
                <w:rFonts w:eastAsia="宋体" w:cs="仿宋_GB2312" w:asciiTheme="minorEastAsia" w:hAnsiTheme="minorEastAsia"/>
                <w:b/>
                <w:bCs/>
                <w:i/>
                <w:color w:val="auto"/>
                <w:kern w:val="0"/>
                <w:szCs w:val="21"/>
                <w:u w:val="single"/>
              </w:rPr>
              <w:t>如完全满足</w:t>
            </w:r>
            <w:r>
              <w:rPr>
                <w:rFonts w:hint="eastAsia" w:eastAsia="宋体" w:cs="仿宋_GB2312" w:asciiTheme="minorEastAsia" w:hAnsiTheme="minorEastAsia"/>
                <w:b/>
                <w:bCs/>
                <w:i/>
                <w:color w:val="auto"/>
                <w:kern w:val="0"/>
                <w:szCs w:val="21"/>
                <w:u w:val="single"/>
              </w:rPr>
              <w:t>，</w:t>
            </w:r>
            <w:r>
              <w:rPr>
                <w:rFonts w:eastAsia="宋体" w:cs="仿宋_GB2312" w:asciiTheme="minorEastAsia" w:hAnsiTheme="minorEastAsia"/>
                <w:b/>
                <w:bCs/>
                <w:i/>
                <w:color w:val="auto"/>
                <w:kern w:val="0"/>
                <w:szCs w:val="21"/>
                <w:u w:val="single"/>
              </w:rPr>
              <w:t>则填</w:t>
            </w:r>
            <w:r>
              <w:rPr>
                <w:rFonts w:hint="eastAsia" w:eastAsia="宋体" w:cs="仿宋_GB2312" w:asciiTheme="minorEastAsia" w:hAnsiTheme="minorEastAsia"/>
                <w:b/>
                <w:bCs/>
                <w:i/>
                <w:color w:val="auto"/>
                <w:kern w:val="0"/>
                <w:szCs w:val="21"/>
                <w:u w:val="single"/>
              </w:rPr>
              <w:t>“</w:t>
            </w:r>
            <w:r>
              <w:rPr>
                <w:rFonts w:eastAsia="宋体" w:cs="仿宋_GB2312" w:asciiTheme="minorEastAsia" w:hAnsiTheme="minorEastAsia"/>
                <w:b/>
                <w:bCs/>
                <w:i/>
                <w:color w:val="auto"/>
                <w:kern w:val="0"/>
                <w:szCs w:val="21"/>
                <w:u w:val="single"/>
              </w:rPr>
              <w:t>无</w:t>
            </w:r>
            <w:r>
              <w:rPr>
                <w:rFonts w:hint="eastAsia" w:eastAsia="宋体" w:cs="仿宋_GB2312" w:asciiTheme="minorEastAsia" w:hAnsiTheme="minorEastAsia"/>
                <w:b/>
                <w:bCs/>
                <w:i/>
                <w:color w:val="auto"/>
                <w:kern w:val="0"/>
                <w:szCs w:val="21"/>
                <w:u w:val="single"/>
              </w:rPr>
              <w:t>”。</w:t>
            </w:r>
            <w:r>
              <w:rPr>
                <w:rFonts w:hint="eastAsia" w:eastAsia="宋体" w:cs="仿宋_GB2312" w:asciiTheme="minorEastAsia" w:hAnsiTheme="minorEastAsia"/>
                <w:b/>
                <w:bCs/>
                <w:i/>
                <w:color w:val="auto"/>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168" w:type="pct"/>
            <w:vAlign w:val="center"/>
          </w:tcPr>
          <w:p>
            <w:pPr>
              <w:spacing w:line="360" w:lineRule="auto"/>
              <w:jc w:val="center"/>
              <w:rPr>
                <w:rFonts w:hint="eastAsia" w:eastAsia="宋体" w:cs="仿宋_GB2312" w:asciiTheme="minorEastAsia" w:hAnsiTheme="minorEastAsia"/>
                <w:color w:val="auto"/>
                <w:kern w:val="0"/>
                <w:szCs w:val="21"/>
              </w:rPr>
            </w:pPr>
            <w:r>
              <w:rPr>
                <w:rFonts w:hint="eastAsia" w:ascii="宋体" w:hAnsi="宋体" w:eastAsia="宋体" w:cs="宋体"/>
                <w:b/>
                <w:bCs/>
                <w:color w:val="auto"/>
              </w:rPr>
              <w:t>一、总体要求</w:t>
            </w:r>
          </w:p>
        </w:tc>
        <w:tc>
          <w:tcPr>
            <w:tcW w:w="977" w:type="pct"/>
            <w:vAlign w:val="center"/>
          </w:tcPr>
          <w:p>
            <w:pPr>
              <w:spacing w:line="360" w:lineRule="auto"/>
              <w:jc w:val="center"/>
              <w:rPr>
                <w:rFonts w:hint="eastAsia" w:eastAsia="宋体" w:cs="仿宋_GB2312" w:asciiTheme="minorEastAsia" w:hAnsiTheme="minorEastAsia"/>
                <w:bCs/>
                <w:color w:val="auto"/>
                <w:kern w:val="0"/>
                <w:szCs w:val="21"/>
              </w:rPr>
            </w:pPr>
          </w:p>
        </w:tc>
        <w:tc>
          <w:tcPr>
            <w:tcW w:w="1309" w:type="pct"/>
            <w:vAlign w:val="center"/>
          </w:tcPr>
          <w:p>
            <w:pPr>
              <w:spacing w:line="360" w:lineRule="auto"/>
              <w:jc w:val="center"/>
              <w:rPr>
                <w:rFonts w:hint="eastAsia" w:eastAsia="宋体" w:cs="仿宋_GB2312" w:asciiTheme="minorEastAsia" w:hAnsiTheme="minorEastAsia"/>
                <w:bCs/>
                <w:color w:val="auto"/>
                <w:kern w:val="0"/>
                <w:szCs w:val="21"/>
              </w:rPr>
            </w:pPr>
            <w:r>
              <w:rPr>
                <w:rFonts w:eastAsia="宋体" w:cs="仿宋_GB2312" w:asciiTheme="minorEastAsia" w:hAnsiTheme="minorEastAsia"/>
                <w:bCs/>
                <w:color w:val="auto"/>
                <w:kern w:val="0"/>
                <w:szCs w:val="21"/>
              </w:rPr>
              <w:t>完全满足</w:t>
            </w:r>
            <w:r>
              <w:rPr>
                <w:rFonts w:hint="eastAsia" w:eastAsia="宋体" w:cs="仿宋_GB2312" w:asciiTheme="minorEastAsia" w:hAnsiTheme="minorEastAsia"/>
                <w:bCs/>
                <w:color w:val="auto"/>
                <w:kern w:val="0"/>
                <w:szCs w:val="21"/>
              </w:rPr>
              <w:t>（ ）</w:t>
            </w:r>
          </w:p>
          <w:p>
            <w:pPr>
              <w:spacing w:line="360" w:lineRule="auto"/>
              <w:jc w:val="center"/>
              <w:rPr>
                <w:rFonts w:hint="eastAsia" w:eastAsia="宋体" w:cs="仿宋_GB2312" w:asciiTheme="minorEastAsia" w:hAnsiTheme="minorEastAsia"/>
                <w:bCs/>
                <w:color w:val="auto"/>
                <w:kern w:val="0"/>
                <w:szCs w:val="21"/>
              </w:rPr>
            </w:pPr>
            <w:r>
              <w:rPr>
                <w:rFonts w:hint="eastAsia" w:eastAsia="宋体" w:cs="仿宋_GB2312" w:asciiTheme="minorEastAsia" w:hAnsiTheme="minorEastAsia"/>
                <w:bCs/>
                <w:color w:val="auto"/>
                <w:kern w:val="0"/>
                <w:szCs w:val="21"/>
              </w:rPr>
              <w:t>部分满足（ ）</w:t>
            </w:r>
          </w:p>
          <w:p>
            <w:pPr>
              <w:spacing w:line="360" w:lineRule="auto"/>
              <w:jc w:val="center"/>
              <w:rPr>
                <w:rFonts w:hint="eastAsia" w:eastAsia="宋体" w:cs="仿宋_GB2312" w:asciiTheme="minorEastAsia" w:hAnsiTheme="minorEastAsia"/>
                <w:bCs/>
                <w:color w:val="auto"/>
                <w:kern w:val="0"/>
                <w:szCs w:val="21"/>
              </w:rPr>
            </w:pPr>
            <w:r>
              <w:rPr>
                <w:rFonts w:hint="eastAsia" w:eastAsia="宋体" w:cs="仿宋_GB2312" w:asciiTheme="minorEastAsia" w:hAnsiTheme="minorEastAsia"/>
                <w:bCs/>
                <w:color w:val="auto"/>
                <w:kern w:val="0"/>
                <w:szCs w:val="21"/>
              </w:rPr>
              <w:t>不能满足（ ）</w:t>
            </w:r>
          </w:p>
        </w:tc>
        <w:tc>
          <w:tcPr>
            <w:tcW w:w="1546" w:type="pct"/>
            <w:vAlign w:val="center"/>
          </w:tcPr>
          <w:p>
            <w:pPr>
              <w:spacing w:line="360" w:lineRule="auto"/>
              <w:jc w:val="center"/>
              <w:rPr>
                <w:rFonts w:hint="eastAsia" w:eastAsia="宋体" w:cs="仿宋_GB2312" w:asciiTheme="minorEastAsia" w:hAnsiTheme="minorEastAsia"/>
                <w:bCs/>
                <w:i/>
                <w:color w:val="auto"/>
                <w:kern w:val="0"/>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168" w:type="pct"/>
            <w:vAlign w:val="center"/>
          </w:tcPr>
          <w:p>
            <w:pPr>
              <w:spacing w:line="360" w:lineRule="auto"/>
              <w:jc w:val="center"/>
              <w:rPr>
                <w:rFonts w:hint="eastAsia" w:ascii="宋体" w:hAnsi="宋体" w:eastAsia="宋体" w:cs="宋体"/>
                <w:b/>
                <w:bCs/>
                <w:color w:val="auto"/>
              </w:rPr>
            </w:pPr>
            <w:r>
              <w:rPr>
                <w:rFonts w:ascii="宋体" w:hAnsi="宋体" w:eastAsia="宋体" w:cs="宋体"/>
                <w:b/>
                <w:bCs/>
                <w:color w:val="auto"/>
              </w:rPr>
              <w:t>二、项目一览表</w:t>
            </w:r>
          </w:p>
        </w:tc>
        <w:tc>
          <w:tcPr>
            <w:tcW w:w="977" w:type="pct"/>
            <w:vAlign w:val="center"/>
          </w:tcPr>
          <w:p>
            <w:pPr>
              <w:spacing w:line="360" w:lineRule="auto"/>
              <w:jc w:val="center"/>
              <w:rPr>
                <w:rFonts w:hint="eastAsia" w:eastAsia="宋体" w:cs="仿宋_GB2312" w:asciiTheme="minorEastAsia" w:hAnsiTheme="minorEastAsia"/>
                <w:bCs/>
                <w:color w:val="auto"/>
                <w:kern w:val="0"/>
                <w:szCs w:val="21"/>
              </w:rPr>
            </w:pPr>
          </w:p>
        </w:tc>
        <w:tc>
          <w:tcPr>
            <w:tcW w:w="1309" w:type="pct"/>
            <w:vAlign w:val="center"/>
          </w:tcPr>
          <w:p>
            <w:pPr>
              <w:spacing w:line="360" w:lineRule="auto"/>
              <w:jc w:val="center"/>
              <w:rPr>
                <w:rFonts w:hint="eastAsia" w:eastAsia="宋体" w:cs="仿宋_GB2312" w:asciiTheme="minorEastAsia" w:hAnsiTheme="minorEastAsia"/>
                <w:bCs/>
                <w:color w:val="auto"/>
                <w:kern w:val="0"/>
                <w:szCs w:val="21"/>
              </w:rPr>
            </w:pPr>
          </w:p>
        </w:tc>
        <w:tc>
          <w:tcPr>
            <w:tcW w:w="1546" w:type="pct"/>
            <w:vAlign w:val="center"/>
          </w:tcPr>
          <w:p>
            <w:pPr>
              <w:spacing w:line="360" w:lineRule="auto"/>
              <w:jc w:val="center"/>
              <w:rPr>
                <w:rFonts w:hint="eastAsia" w:eastAsia="宋体" w:cs="仿宋_GB2312" w:asciiTheme="minorEastAsia" w:hAnsiTheme="minorEastAsia"/>
                <w:bCs/>
                <w:i/>
                <w:color w:val="auto"/>
                <w:kern w:val="0"/>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168" w:type="pct"/>
            <w:vAlign w:val="center"/>
          </w:tcPr>
          <w:p>
            <w:pPr>
              <w:spacing w:line="360" w:lineRule="auto"/>
              <w:jc w:val="center"/>
              <w:rPr>
                <w:rFonts w:hint="eastAsia" w:ascii="宋体" w:hAnsi="宋体" w:eastAsia="宋体" w:cs="宋体"/>
                <w:b/>
                <w:bCs/>
                <w:color w:val="auto"/>
              </w:rPr>
            </w:pPr>
            <w:r>
              <w:rPr>
                <w:rFonts w:ascii="宋体" w:hAnsi="宋体" w:eastAsia="宋体" w:cs="宋体"/>
                <w:b/>
                <w:bCs/>
                <w:color w:val="auto"/>
              </w:rPr>
              <w:t>三、★交货期</w:t>
            </w:r>
          </w:p>
        </w:tc>
        <w:tc>
          <w:tcPr>
            <w:tcW w:w="977" w:type="pct"/>
            <w:vAlign w:val="center"/>
          </w:tcPr>
          <w:p>
            <w:pPr>
              <w:spacing w:line="360" w:lineRule="auto"/>
              <w:jc w:val="center"/>
              <w:rPr>
                <w:rFonts w:hint="eastAsia" w:eastAsia="宋体" w:cs="仿宋_GB2312" w:asciiTheme="minorEastAsia" w:hAnsiTheme="minorEastAsia"/>
                <w:bCs/>
                <w:color w:val="auto"/>
                <w:kern w:val="0"/>
                <w:szCs w:val="21"/>
              </w:rPr>
            </w:pPr>
          </w:p>
        </w:tc>
        <w:tc>
          <w:tcPr>
            <w:tcW w:w="1309" w:type="pct"/>
            <w:vAlign w:val="center"/>
          </w:tcPr>
          <w:p>
            <w:pPr>
              <w:spacing w:line="360" w:lineRule="auto"/>
              <w:jc w:val="center"/>
              <w:rPr>
                <w:rFonts w:hint="eastAsia" w:eastAsia="宋体" w:cs="仿宋_GB2312" w:asciiTheme="minorEastAsia" w:hAnsiTheme="minorEastAsia"/>
                <w:bCs/>
                <w:color w:val="auto"/>
                <w:kern w:val="0"/>
                <w:szCs w:val="21"/>
              </w:rPr>
            </w:pPr>
          </w:p>
        </w:tc>
        <w:tc>
          <w:tcPr>
            <w:tcW w:w="1546" w:type="pct"/>
            <w:vAlign w:val="center"/>
          </w:tcPr>
          <w:p>
            <w:pPr>
              <w:spacing w:line="360" w:lineRule="auto"/>
              <w:jc w:val="center"/>
              <w:rPr>
                <w:rFonts w:hint="eastAsia" w:eastAsia="宋体" w:cs="仿宋_GB2312" w:asciiTheme="minorEastAsia" w:hAnsiTheme="minorEastAsia"/>
                <w:bCs/>
                <w:i/>
                <w:color w:val="auto"/>
                <w:kern w:val="0"/>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168" w:type="pct"/>
            <w:vAlign w:val="center"/>
          </w:tcPr>
          <w:p>
            <w:pPr>
              <w:spacing w:line="360" w:lineRule="auto"/>
              <w:jc w:val="center"/>
              <w:rPr>
                <w:rFonts w:hint="eastAsia" w:ascii="宋体" w:hAnsi="宋体" w:eastAsia="宋体" w:cs="宋体"/>
                <w:b/>
                <w:bCs/>
                <w:color w:val="auto"/>
              </w:rPr>
            </w:pPr>
            <w:r>
              <w:rPr>
                <w:rFonts w:ascii="宋体" w:hAnsi="宋体" w:eastAsia="宋体" w:cs="宋体"/>
                <w:b/>
                <w:bCs/>
                <w:color w:val="auto"/>
              </w:rPr>
              <w:t>四、项目基本概况：</w:t>
            </w:r>
          </w:p>
        </w:tc>
        <w:tc>
          <w:tcPr>
            <w:tcW w:w="977" w:type="pct"/>
            <w:vAlign w:val="center"/>
          </w:tcPr>
          <w:p>
            <w:pPr>
              <w:spacing w:line="360" w:lineRule="auto"/>
              <w:jc w:val="center"/>
              <w:rPr>
                <w:rFonts w:hint="eastAsia" w:eastAsia="宋体" w:cs="仿宋_GB2312" w:asciiTheme="minorEastAsia" w:hAnsiTheme="minorEastAsia"/>
                <w:bCs/>
                <w:color w:val="auto"/>
                <w:kern w:val="0"/>
                <w:szCs w:val="21"/>
              </w:rPr>
            </w:pPr>
          </w:p>
        </w:tc>
        <w:tc>
          <w:tcPr>
            <w:tcW w:w="1309" w:type="pct"/>
            <w:vAlign w:val="center"/>
          </w:tcPr>
          <w:p>
            <w:pPr>
              <w:spacing w:line="360" w:lineRule="auto"/>
              <w:jc w:val="center"/>
              <w:rPr>
                <w:rFonts w:hint="eastAsia" w:eastAsia="宋体" w:cs="仿宋_GB2312" w:asciiTheme="minorEastAsia" w:hAnsiTheme="minorEastAsia"/>
                <w:bCs/>
                <w:color w:val="auto"/>
                <w:kern w:val="0"/>
                <w:szCs w:val="21"/>
              </w:rPr>
            </w:pPr>
          </w:p>
        </w:tc>
        <w:tc>
          <w:tcPr>
            <w:tcW w:w="1546" w:type="pct"/>
            <w:vAlign w:val="center"/>
          </w:tcPr>
          <w:p>
            <w:pPr>
              <w:spacing w:line="360" w:lineRule="auto"/>
              <w:jc w:val="center"/>
              <w:rPr>
                <w:rFonts w:hint="eastAsia" w:eastAsia="宋体" w:cs="仿宋_GB2312" w:asciiTheme="minorEastAsia" w:hAnsiTheme="minorEastAsia"/>
                <w:bCs/>
                <w:i/>
                <w:color w:val="auto"/>
                <w:kern w:val="0"/>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168" w:type="pct"/>
            <w:vAlign w:val="center"/>
          </w:tcPr>
          <w:p>
            <w:pPr>
              <w:spacing w:line="360" w:lineRule="auto"/>
              <w:jc w:val="center"/>
              <w:outlineLvl w:val="0"/>
              <w:rPr>
                <w:rFonts w:hint="eastAsia" w:eastAsia="宋体" w:cs="仿宋_GB2312" w:asciiTheme="minorEastAsia" w:hAnsiTheme="minorEastAsia"/>
                <w:b/>
                <w:color w:val="auto"/>
                <w:kern w:val="0"/>
                <w:szCs w:val="21"/>
              </w:rPr>
            </w:pPr>
            <w:r>
              <w:rPr>
                <w:rFonts w:hint="eastAsia" w:ascii="宋体" w:hAnsi="宋体" w:eastAsia="宋体" w:cs="宋体"/>
                <w:b/>
                <w:bCs/>
                <w:color w:val="auto"/>
                <w:szCs w:val="21"/>
              </w:rPr>
              <w:t>五、技术要求</w:t>
            </w:r>
          </w:p>
        </w:tc>
        <w:tc>
          <w:tcPr>
            <w:tcW w:w="977" w:type="pct"/>
            <w:vAlign w:val="center"/>
          </w:tcPr>
          <w:p>
            <w:pPr>
              <w:spacing w:line="360" w:lineRule="auto"/>
              <w:jc w:val="center"/>
              <w:rPr>
                <w:rFonts w:hint="eastAsia" w:eastAsia="宋体" w:cs="仿宋_GB2312" w:asciiTheme="minorEastAsia" w:hAnsiTheme="minorEastAsia"/>
                <w:bCs/>
                <w:color w:val="auto"/>
                <w:kern w:val="0"/>
                <w:szCs w:val="21"/>
              </w:rPr>
            </w:pPr>
          </w:p>
        </w:tc>
        <w:tc>
          <w:tcPr>
            <w:tcW w:w="1309" w:type="pct"/>
            <w:vAlign w:val="center"/>
          </w:tcPr>
          <w:p>
            <w:pPr>
              <w:spacing w:line="360" w:lineRule="auto"/>
              <w:jc w:val="center"/>
              <w:rPr>
                <w:rFonts w:hint="eastAsia" w:eastAsia="宋体" w:cs="仿宋_GB2312" w:asciiTheme="minorEastAsia" w:hAnsiTheme="minorEastAsia"/>
                <w:bCs/>
                <w:color w:val="auto"/>
                <w:kern w:val="0"/>
                <w:szCs w:val="21"/>
              </w:rPr>
            </w:pPr>
            <w:r>
              <w:rPr>
                <w:rFonts w:eastAsia="宋体" w:cs="仿宋_GB2312" w:asciiTheme="minorEastAsia" w:hAnsiTheme="minorEastAsia"/>
                <w:bCs/>
                <w:color w:val="auto"/>
                <w:kern w:val="0"/>
                <w:szCs w:val="21"/>
              </w:rPr>
              <w:t>完全满足</w:t>
            </w:r>
            <w:r>
              <w:rPr>
                <w:rFonts w:hint="eastAsia" w:eastAsia="宋体" w:cs="仿宋_GB2312" w:asciiTheme="minorEastAsia" w:hAnsiTheme="minorEastAsia"/>
                <w:bCs/>
                <w:color w:val="auto"/>
                <w:kern w:val="0"/>
                <w:szCs w:val="21"/>
              </w:rPr>
              <w:t>（ ）</w:t>
            </w:r>
          </w:p>
          <w:p>
            <w:pPr>
              <w:spacing w:line="360" w:lineRule="auto"/>
              <w:jc w:val="center"/>
              <w:rPr>
                <w:rFonts w:hint="eastAsia" w:eastAsia="宋体" w:cs="仿宋_GB2312" w:asciiTheme="minorEastAsia" w:hAnsiTheme="minorEastAsia"/>
                <w:bCs/>
                <w:color w:val="auto"/>
                <w:kern w:val="0"/>
                <w:szCs w:val="21"/>
              </w:rPr>
            </w:pPr>
            <w:r>
              <w:rPr>
                <w:rFonts w:hint="eastAsia" w:eastAsia="宋体" w:cs="仿宋_GB2312" w:asciiTheme="minorEastAsia" w:hAnsiTheme="minorEastAsia"/>
                <w:bCs/>
                <w:color w:val="auto"/>
                <w:kern w:val="0"/>
                <w:szCs w:val="21"/>
              </w:rPr>
              <w:t>部分满足（ ）</w:t>
            </w:r>
          </w:p>
          <w:p>
            <w:pPr>
              <w:spacing w:line="360" w:lineRule="auto"/>
              <w:jc w:val="center"/>
              <w:rPr>
                <w:rFonts w:hint="eastAsia" w:eastAsia="宋体" w:cs="仿宋_GB2312" w:asciiTheme="minorEastAsia" w:hAnsiTheme="minorEastAsia"/>
                <w:bCs/>
                <w:color w:val="auto"/>
                <w:kern w:val="0"/>
                <w:szCs w:val="21"/>
              </w:rPr>
            </w:pPr>
            <w:r>
              <w:rPr>
                <w:rFonts w:hint="eastAsia" w:eastAsia="宋体" w:cs="仿宋_GB2312" w:asciiTheme="minorEastAsia" w:hAnsiTheme="minorEastAsia"/>
                <w:bCs/>
                <w:color w:val="auto"/>
                <w:kern w:val="0"/>
                <w:szCs w:val="21"/>
              </w:rPr>
              <w:t>不能满足（ ）</w:t>
            </w:r>
          </w:p>
        </w:tc>
        <w:tc>
          <w:tcPr>
            <w:tcW w:w="1546" w:type="pct"/>
            <w:vAlign w:val="center"/>
          </w:tcPr>
          <w:p>
            <w:pPr>
              <w:spacing w:line="360" w:lineRule="auto"/>
              <w:jc w:val="center"/>
              <w:rPr>
                <w:rFonts w:hint="eastAsia" w:eastAsia="宋体" w:cs="仿宋_GB2312" w:asciiTheme="minorEastAsia" w:hAnsiTheme="minorEastAsia"/>
                <w:bCs/>
                <w:color w:val="auto"/>
                <w:kern w:val="0"/>
                <w:szCs w:val="21"/>
              </w:rPr>
            </w:pPr>
            <w:r>
              <w:rPr>
                <w:rFonts w:hint="eastAsia" w:eastAsia="宋体" w:cs="仿宋_GB2312" w:asciiTheme="minorEastAsia" w:hAnsiTheme="minorEastAsia"/>
                <w:b/>
                <w:bCs w:val="0"/>
                <w:color w:val="auto"/>
                <w:kern w:val="0"/>
                <w:szCs w:val="21"/>
                <w:lang w:val="en-US" w:eastAsia="zh-CN"/>
              </w:rPr>
              <w:t>须提供</w:t>
            </w:r>
            <w:r>
              <w:rPr>
                <w:rFonts w:hint="eastAsia" w:eastAsia="宋体" w:cs="仿宋_GB2312" w:asciiTheme="minorEastAsia" w:hAnsiTheme="minorEastAsia"/>
                <w:b/>
                <w:bCs w:val="0"/>
                <w:color w:val="auto"/>
                <w:kern w:val="0"/>
                <w:szCs w:val="21"/>
              </w:rPr>
              <w:t>产品技术规格书或设计方案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168" w:type="pct"/>
            <w:vAlign w:val="center"/>
          </w:tcPr>
          <w:p>
            <w:pPr>
              <w:spacing w:line="360" w:lineRule="auto"/>
              <w:jc w:val="center"/>
              <w:rPr>
                <w:rFonts w:hint="eastAsia" w:eastAsia="宋体" w:cs="仿宋_GB2312" w:asciiTheme="minorEastAsia" w:hAnsiTheme="minorEastAsia"/>
                <w:b/>
                <w:color w:val="auto"/>
                <w:kern w:val="0"/>
                <w:szCs w:val="21"/>
              </w:rPr>
            </w:pPr>
            <w:r>
              <w:rPr>
                <w:rFonts w:hint="eastAsia" w:eastAsia="宋体" w:cs="仿宋_GB2312" w:asciiTheme="minorEastAsia" w:hAnsiTheme="minorEastAsia"/>
                <w:b/>
                <w:color w:val="auto"/>
                <w:kern w:val="0"/>
                <w:szCs w:val="21"/>
              </w:rPr>
              <w:t>六、商务要求</w:t>
            </w:r>
          </w:p>
        </w:tc>
        <w:tc>
          <w:tcPr>
            <w:tcW w:w="977" w:type="pct"/>
            <w:vAlign w:val="center"/>
          </w:tcPr>
          <w:p>
            <w:pPr>
              <w:spacing w:line="360" w:lineRule="auto"/>
              <w:jc w:val="center"/>
              <w:rPr>
                <w:rFonts w:hint="eastAsia" w:eastAsia="宋体" w:cs="仿宋_GB2312" w:asciiTheme="minorEastAsia" w:hAnsiTheme="minorEastAsia"/>
                <w:bCs/>
                <w:color w:val="auto"/>
                <w:kern w:val="0"/>
                <w:szCs w:val="21"/>
              </w:rPr>
            </w:pPr>
          </w:p>
        </w:tc>
        <w:tc>
          <w:tcPr>
            <w:tcW w:w="1309" w:type="pct"/>
            <w:vAlign w:val="center"/>
          </w:tcPr>
          <w:p>
            <w:pPr>
              <w:spacing w:line="360" w:lineRule="auto"/>
              <w:jc w:val="center"/>
              <w:rPr>
                <w:rFonts w:hint="eastAsia" w:eastAsia="宋体" w:cs="仿宋_GB2312" w:asciiTheme="minorEastAsia" w:hAnsiTheme="minorEastAsia"/>
                <w:bCs/>
                <w:color w:val="auto"/>
                <w:kern w:val="0"/>
                <w:szCs w:val="21"/>
              </w:rPr>
            </w:pPr>
            <w:r>
              <w:rPr>
                <w:rFonts w:eastAsia="宋体" w:cs="仿宋_GB2312" w:asciiTheme="minorEastAsia" w:hAnsiTheme="minorEastAsia"/>
                <w:bCs/>
                <w:color w:val="auto"/>
                <w:kern w:val="0"/>
                <w:szCs w:val="21"/>
              </w:rPr>
              <w:t>完全满足</w:t>
            </w:r>
            <w:r>
              <w:rPr>
                <w:rFonts w:hint="eastAsia" w:eastAsia="宋体" w:cs="仿宋_GB2312" w:asciiTheme="minorEastAsia" w:hAnsiTheme="minorEastAsia"/>
                <w:bCs/>
                <w:color w:val="auto"/>
                <w:kern w:val="0"/>
                <w:szCs w:val="21"/>
              </w:rPr>
              <w:t>（ ）</w:t>
            </w:r>
          </w:p>
          <w:p>
            <w:pPr>
              <w:spacing w:line="360" w:lineRule="auto"/>
              <w:jc w:val="center"/>
              <w:rPr>
                <w:rFonts w:hint="eastAsia" w:eastAsia="宋体" w:cs="仿宋_GB2312" w:asciiTheme="minorEastAsia" w:hAnsiTheme="minorEastAsia"/>
                <w:bCs/>
                <w:color w:val="auto"/>
                <w:kern w:val="0"/>
                <w:szCs w:val="21"/>
              </w:rPr>
            </w:pPr>
            <w:r>
              <w:rPr>
                <w:rFonts w:hint="eastAsia" w:eastAsia="宋体" w:cs="仿宋_GB2312" w:asciiTheme="minorEastAsia" w:hAnsiTheme="minorEastAsia"/>
                <w:bCs/>
                <w:color w:val="auto"/>
                <w:kern w:val="0"/>
                <w:szCs w:val="21"/>
              </w:rPr>
              <w:t>部分满足（ ）</w:t>
            </w:r>
          </w:p>
          <w:p>
            <w:pPr>
              <w:spacing w:line="360" w:lineRule="auto"/>
              <w:jc w:val="center"/>
              <w:rPr>
                <w:rFonts w:hint="eastAsia" w:eastAsia="宋体" w:cs="仿宋_GB2312" w:asciiTheme="minorEastAsia" w:hAnsiTheme="minorEastAsia"/>
                <w:bCs/>
                <w:color w:val="auto"/>
                <w:kern w:val="0"/>
                <w:szCs w:val="21"/>
              </w:rPr>
            </w:pPr>
            <w:r>
              <w:rPr>
                <w:rFonts w:hint="eastAsia" w:eastAsia="宋体" w:cs="仿宋_GB2312" w:asciiTheme="minorEastAsia" w:hAnsiTheme="minorEastAsia"/>
                <w:bCs/>
                <w:color w:val="auto"/>
                <w:kern w:val="0"/>
                <w:szCs w:val="21"/>
              </w:rPr>
              <w:t>不能满足（ ）</w:t>
            </w:r>
          </w:p>
        </w:tc>
        <w:tc>
          <w:tcPr>
            <w:tcW w:w="1546" w:type="pct"/>
            <w:vAlign w:val="center"/>
          </w:tcPr>
          <w:p>
            <w:pPr>
              <w:spacing w:line="360" w:lineRule="auto"/>
              <w:jc w:val="center"/>
              <w:rPr>
                <w:rFonts w:hint="eastAsia" w:eastAsia="宋体" w:cs="仿宋_GB2312" w:asciiTheme="minorEastAsia" w:hAnsiTheme="minorEastAsia"/>
                <w:bCs/>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168" w:type="pct"/>
            <w:vAlign w:val="center"/>
          </w:tcPr>
          <w:p>
            <w:pPr>
              <w:spacing w:line="360" w:lineRule="auto"/>
              <w:jc w:val="center"/>
              <w:rPr>
                <w:rFonts w:hint="eastAsia" w:ascii="宋体" w:hAnsi="宋体" w:eastAsia="宋体" w:cs="宋体"/>
                <w:b/>
                <w:color w:val="auto"/>
              </w:rPr>
            </w:pPr>
          </w:p>
        </w:tc>
        <w:tc>
          <w:tcPr>
            <w:tcW w:w="977" w:type="pct"/>
            <w:vAlign w:val="center"/>
          </w:tcPr>
          <w:p>
            <w:pPr>
              <w:spacing w:line="360" w:lineRule="auto"/>
              <w:jc w:val="center"/>
              <w:rPr>
                <w:rFonts w:hint="eastAsia" w:eastAsia="宋体" w:cs="仿宋_GB2312" w:asciiTheme="minorEastAsia" w:hAnsiTheme="minorEastAsia"/>
                <w:bCs/>
                <w:color w:val="auto"/>
                <w:kern w:val="0"/>
                <w:sz w:val="20"/>
                <w:szCs w:val="21"/>
              </w:rPr>
            </w:pPr>
          </w:p>
        </w:tc>
        <w:tc>
          <w:tcPr>
            <w:tcW w:w="1309" w:type="pct"/>
            <w:vAlign w:val="center"/>
          </w:tcPr>
          <w:p>
            <w:pPr>
              <w:spacing w:line="360" w:lineRule="auto"/>
              <w:jc w:val="center"/>
              <w:rPr>
                <w:rFonts w:hint="eastAsia" w:eastAsia="宋体" w:cs="仿宋_GB2312" w:asciiTheme="minorEastAsia" w:hAnsiTheme="minorEastAsia"/>
                <w:bCs/>
                <w:color w:val="auto"/>
                <w:kern w:val="0"/>
                <w:szCs w:val="21"/>
              </w:rPr>
            </w:pPr>
          </w:p>
        </w:tc>
        <w:tc>
          <w:tcPr>
            <w:tcW w:w="1546" w:type="pct"/>
            <w:vAlign w:val="center"/>
          </w:tcPr>
          <w:p>
            <w:pPr>
              <w:spacing w:line="360" w:lineRule="auto"/>
              <w:jc w:val="center"/>
              <w:rPr>
                <w:rFonts w:hint="eastAsia" w:eastAsia="宋体" w:cs="仿宋_GB2312" w:asciiTheme="minorEastAsia" w:hAnsiTheme="minorEastAsia"/>
                <w:bCs/>
                <w:color w:val="auto"/>
                <w:kern w:val="0"/>
                <w:sz w:val="20"/>
                <w:szCs w:val="21"/>
              </w:rPr>
            </w:pPr>
          </w:p>
        </w:tc>
      </w:tr>
    </w:tbl>
    <w:p>
      <w:pPr>
        <w:spacing w:line="360" w:lineRule="auto"/>
        <w:jc w:val="left"/>
        <w:rPr>
          <w:rFonts w:ascii="Times New Roman" w:hAnsi="Times New Roman" w:eastAsia="宋体" w:cs="宋体"/>
          <w:b/>
          <w:bCs/>
          <w:color w:val="auto"/>
          <w:szCs w:val="21"/>
        </w:rPr>
      </w:pPr>
      <w:r>
        <w:rPr>
          <w:rFonts w:hint="eastAsia" w:ascii="Times New Roman" w:hAnsi="Times New Roman" w:eastAsia="宋体" w:cs="宋体"/>
          <w:i/>
          <w:color w:val="auto"/>
          <w:szCs w:val="21"/>
        </w:rPr>
        <w:t>注：格式供参考，请根据采购需求的具体内容及自身实际情况进行填写。</w:t>
      </w:r>
    </w:p>
    <w:p>
      <w:pPr>
        <w:rPr>
          <w:rFonts w:ascii="Times New Roman" w:hAnsi="Times New Roman" w:eastAsia="宋体" w:cs="宋体"/>
          <w:b/>
          <w:bCs/>
          <w:color w:val="auto"/>
          <w:szCs w:val="21"/>
        </w:rPr>
      </w:pPr>
      <w:r>
        <w:rPr>
          <w:rFonts w:ascii="Times New Roman" w:hAnsi="Times New Roman" w:eastAsia="宋体" w:cs="宋体"/>
          <w:b/>
          <w:bCs/>
          <w:color w:val="auto"/>
          <w:szCs w:val="21"/>
        </w:rPr>
        <w:br w:type="page"/>
      </w:r>
    </w:p>
    <w:p>
      <w:pPr>
        <w:spacing w:line="360" w:lineRule="auto"/>
        <w:jc w:val="left"/>
        <w:outlineLvl w:val="2"/>
        <w:rPr>
          <w:rFonts w:hint="eastAsia" w:ascii="宋体" w:hAnsi="宋体"/>
          <w:b/>
          <w:bCs/>
          <w:color w:val="auto"/>
          <w:szCs w:val="21"/>
        </w:rPr>
      </w:pPr>
      <w:r>
        <w:rPr>
          <w:rFonts w:hint="eastAsia" w:ascii="宋体" w:hAnsi="宋体"/>
          <w:b/>
          <w:bCs/>
          <w:color w:val="auto"/>
          <w:szCs w:val="21"/>
        </w:rPr>
        <w:t>1.</w:t>
      </w:r>
      <w:r>
        <w:rPr>
          <w:rFonts w:ascii="宋体" w:hAnsi="宋体"/>
          <w:b/>
          <w:bCs/>
          <w:color w:val="auto"/>
          <w:szCs w:val="21"/>
        </w:rPr>
        <w:t>“★”号条款</w:t>
      </w:r>
      <w:r>
        <w:rPr>
          <w:rFonts w:hint="eastAsia" w:ascii="宋体" w:hAnsi="宋体"/>
          <w:b/>
          <w:bCs/>
          <w:color w:val="auto"/>
          <w:szCs w:val="21"/>
        </w:rPr>
        <w:t>响应情况</w:t>
      </w:r>
    </w:p>
    <w:p>
      <w:pPr>
        <w:spacing w:line="360" w:lineRule="auto"/>
        <w:jc w:val="left"/>
        <w:rPr>
          <w:rFonts w:hint="eastAsia" w:ascii="宋体" w:hAnsi="宋体"/>
          <w:b/>
          <w:bCs/>
          <w:color w:val="auto"/>
          <w:szCs w:val="21"/>
        </w:rPr>
      </w:pPr>
      <w:r>
        <w:rPr>
          <w:rFonts w:hint="eastAsia" w:ascii="宋体" w:hAnsi="宋体"/>
          <w:b/>
          <w:bCs/>
          <w:color w:val="auto"/>
          <w:szCs w:val="21"/>
        </w:rPr>
        <w:t>注：标有“★”的条款为必须完全满足的实质性要求，投标人如有一项带“★”的条款未响应或不满足，将按无效投标处理。</w:t>
      </w:r>
    </w:p>
    <w:tbl>
      <w:tblPr>
        <w:tblStyle w:val="29"/>
        <w:tblW w:w="90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6"/>
        <w:gridCol w:w="6944"/>
        <w:gridCol w:w="673"/>
        <w:gridCol w:w="9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widowControl/>
              <w:tabs>
                <w:tab w:val="left" w:pos="360"/>
                <w:tab w:val="left" w:pos="567"/>
              </w:tabs>
              <w:kinsoku w:val="0"/>
              <w:autoSpaceDE w:val="0"/>
              <w:autoSpaceDN w:val="0"/>
              <w:adjustRightInd w:val="0"/>
              <w:snapToGrid w:val="0"/>
              <w:spacing w:line="360" w:lineRule="auto"/>
              <w:jc w:val="center"/>
              <w:textAlignment w:val="baseline"/>
              <w:rPr>
                <w:rFonts w:hint="eastAsia" w:ascii="宋体" w:hAnsi="宋体"/>
                <w:b/>
                <w:bCs/>
                <w:color w:val="auto"/>
                <w:szCs w:val="21"/>
              </w:rPr>
            </w:pPr>
            <w:r>
              <w:rPr>
                <w:rFonts w:hint="eastAsia" w:ascii="宋体" w:hAnsi="宋体"/>
                <w:b/>
                <w:bCs/>
                <w:color w:val="auto"/>
                <w:szCs w:val="21"/>
              </w:rPr>
              <w:t>序号</w:t>
            </w:r>
          </w:p>
        </w:tc>
        <w:tc>
          <w:tcPr>
            <w:tcW w:w="6944" w:type="dxa"/>
            <w:vAlign w:val="center"/>
          </w:tcPr>
          <w:p>
            <w:pPr>
              <w:widowControl/>
              <w:tabs>
                <w:tab w:val="left" w:pos="360"/>
                <w:tab w:val="left" w:pos="567"/>
              </w:tabs>
              <w:kinsoku w:val="0"/>
              <w:autoSpaceDE w:val="0"/>
              <w:autoSpaceDN w:val="0"/>
              <w:adjustRightInd w:val="0"/>
              <w:snapToGrid w:val="0"/>
              <w:spacing w:line="360" w:lineRule="auto"/>
              <w:jc w:val="center"/>
              <w:textAlignment w:val="baseline"/>
              <w:rPr>
                <w:rFonts w:hint="eastAsia" w:ascii="宋体" w:hAnsi="宋体"/>
                <w:b/>
                <w:bCs/>
                <w:color w:val="auto"/>
                <w:szCs w:val="21"/>
              </w:rPr>
            </w:pPr>
            <w:r>
              <w:rPr>
                <w:b/>
                <w:bCs/>
                <w:color w:val="auto"/>
                <w:sz w:val="19"/>
              </w:rPr>
              <w:t>“★”号条款</w:t>
            </w:r>
          </w:p>
        </w:tc>
        <w:tc>
          <w:tcPr>
            <w:tcW w:w="673" w:type="dxa"/>
            <w:vAlign w:val="center"/>
          </w:tcPr>
          <w:p>
            <w:pPr>
              <w:widowControl/>
              <w:tabs>
                <w:tab w:val="left" w:pos="360"/>
                <w:tab w:val="left" w:pos="567"/>
              </w:tabs>
              <w:kinsoku w:val="0"/>
              <w:autoSpaceDE w:val="0"/>
              <w:autoSpaceDN w:val="0"/>
              <w:adjustRightInd w:val="0"/>
              <w:snapToGrid w:val="0"/>
              <w:spacing w:line="360" w:lineRule="auto"/>
              <w:jc w:val="center"/>
              <w:textAlignment w:val="baseline"/>
              <w:rPr>
                <w:b/>
                <w:color w:val="auto"/>
                <w:sz w:val="19"/>
              </w:rPr>
            </w:pPr>
            <w:r>
              <w:rPr>
                <w:rFonts w:hint="eastAsia"/>
                <w:b/>
                <w:color w:val="auto"/>
                <w:sz w:val="19"/>
              </w:rPr>
              <w:t>是否偏离</w:t>
            </w:r>
          </w:p>
        </w:tc>
        <w:tc>
          <w:tcPr>
            <w:tcW w:w="955" w:type="dxa"/>
            <w:vAlign w:val="center"/>
          </w:tcPr>
          <w:p>
            <w:pPr>
              <w:widowControl/>
              <w:tabs>
                <w:tab w:val="left" w:pos="360"/>
                <w:tab w:val="left" w:pos="567"/>
              </w:tabs>
              <w:kinsoku w:val="0"/>
              <w:autoSpaceDE w:val="0"/>
              <w:autoSpaceDN w:val="0"/>
              <w:adjustRightInd w:val="0"/>
              <w:snapToGrid w:val="0"/>
              <w:spacing w:line="360" w:lineRule="auto"/>
              <w:jc w:val="center"/>
              <w:textAlignment w:val="baseline"/>
              <w:rPr>
                <w:rFonts w:hint="eastAsia" w:ascii="宋体" w:hAnsi="宋体"/>
                <w:color w:val="auto"/>
                <w:szCs w:val="21"/>
              </w:rPr>
            </w:pPr>
            <w:r>
              <w:rPr>
                <w:b/>
                <w:color w:val="auto"/>
                <w:sz w:val="19"/>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widowControl/>
              <w:numPr>
                <w:ilvl w:val="0"/>
                <w:numId w:val="6"/>
              </w:numPr>
              <w:tabs>
                <w:tab w:val="left" w:pos="360"/>
                <w:tab w:val="left" w:pos="567"/>
              </w:tabs>
              <w:kinsoku w:val="0"/>
              <w:autoSpaceDE w:val="0"/>
              <w:autoSpaceDN w:val="0"/>
              <w:adjustRightInd w:val="0"/>
              <w:snapToGrid w:val="0"/>
              <w:spacing w:line="360" w:lineRule="auto"/>
              <w:jc w:val="center"/>
              <w:textAlignment w:val="baseline"/>
              <w:rPr>
                <w:rFonts w:hint="eastAsia" w:ascii="宋体" w:hAnsi="宋体"/>
                <w:b/>
                <w:bCs/>
                <w:color w:val="auto"/>
                <w:szCs w:val="21"/>
              </w:rPr>
            </w:pPr>
          </w:p>
        </w:tc>
        <w:tc>
          <w:tcPr>
            <w:tcW w:w="6944" w:type="dxa"/>
            <w:vAlign w:val="center"/>
          </w:tcPr>
          <w:p>
            <w:pPr>
              <w:widowControl/>
              <w:tabs>
                <w:tab w:val="left" w:pos="360"/>
                <w:tab w:val="left" w:pos="567"/>
              </w:tabs>
              <w:kinsoku w:val="0"/>
              <w:autoSpaceDE w:val="0"/>
              <w:autoSpaceDN w:val="0"/>
              <w:adjustRightInd w:val="0"/>
              <w:snapToGrid w:val="0"/>
              <w:spacing w:line="360" w:lineRule="auto"/>
              <w:textAlignment w:val="baseline"/>
              <w:rPr>
                <w:b/>
                <w:bCs/>
                <w:color w:val="auto"/>
                <w:sz w:val="19"/>
              </w:rPr>
            </w:pPr>
          </w:p>
        </w:tc>
        <w:tc>
          <w:tcPr>
            <w:tcW w:w="673" w:type="dxa"/>
            <w:vAlign w:val="center"/>
          </w:tcPr>
          <w:p>
            <w:pPr>
              <w:widowControl/>
              <w:tabs>
                <w:tab w:val="left" w:pos="360"/>
                <w:tab w:val="left" w:pos="567"/>
              </w:tabs>
              <w:kinsoku w:val="0"/>
              <w:autoSpaceDE w:val="0"/>
              <w:autoSpaceDN w:val="0"/>
              <w:adjustRightInd w:val="0"/>
              <w:snapToGrid w:val="0"/>
              <w:spacing w:line="360" w:lineRule="auto"/>
              <w:jc w:val="center"/>
              <w:textAlignment w:val="baseline"/>
              <w:rPr>
                <w:b/>
                <w:color w:val="auto"/>
                <w:sz w:val="19"/>
              </w:rPr>
            </w:pPr>
          </w:p>
        </w:tc>
        <w:tc>
          <w:tcPr>
            <w:tcW w:w="955" w:type="dxa"/>
            <w:vAlign w:val="center"/>
          </w:tcPr>
          <w:p>
            <w:pPr>
              <w:widowControl/>
              <w:tabs>
                <w:tab w:val="left" w:pos="360"/>
                <w:tab w:val="left" w:pos="567"/>
              </w:tabs>
              <w:kinsoku w:val="0"/>
              <w:autoSpaceDE w:val="0"/>
              <w:autoSpaceDN w:val="0"/>
              <w:adjustRightInd w:val="0"/>
              <w:snapToGrid w:val="0"/>
              <w:spacing w:line="360" w:lineRule="auto"/>
              <w:jc w:val="center"/>
              <w:textAlignment w:val="baseline"/>
              <w:rPr>
                <w:b/>
                <w:color w:val="auto"/>
                <w:sz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widowControl/>
              <w:numPr>
                <w:ilvl w:val="0"/>
                <w:numId w:val="6"/>
              </w:numPr>
              <w:tabs>
                <w:tab w:val="left" w:pos="360"/>
                <w:tab w:val="left" w:pos="567"/>
              </w:tabs>
              <w:kinsoku w:val="0"/>
              <w:autoSpaceDE w:val="0"/>
              <w:autoSpaceDN w:val="0"/>
              <w:adjustRightInd w:val="0"/>
              <w:snapToGrid w:val="0"/>
              <w:spacing w:line="360" w:lineRule="auto"/>
              <w:jc w:val="center"/>
              <w:textAlignment w:val="baseline"/>
              <w:rPr>
                <w:rFonts w:hint="eastAsia" w:ascii="宋体" w:hAnsi="宋体"/>
                <w:color w:val="auto"/>
                <w:szCs w:val="21"/>
              </w:rPr>
            </w:pPr>
          </w:p>
        </w:tc>
        <w:tc>
          <w:tcPr>
            <w:tcW w:w="6944" w:type="dxa"/>
            <w:vAlign w:val="center"/>
          </w:tcPr>
          <w:p>
            <w:pPr>
              <w:spacing w:line="360" w:lineRule="auto"/>
              <w:ind w:firstLine="210"/>
              <w:rPr>
                <w:b/>
                <w:color w:val="auto"/>
                <w:sz w:val="19"/>
              </w:rPr>
            </w:pPr>
          </w:p>
        </w:tc>
        <w:tc>
          <w:tcPr>
            <w:tcW w:w="673" w:type="dxa"/>
            <w:vAlign w:val="center"/>
          </w:tcPr>
          <w:p>
            <w:pPr>
              <w:widowControl/>
              <w:tabs>
                <w:tab w:val="left" w:pos="360"/>
                <w:tab w:val="left" w:pos="567"/>
              </w:tabs>
              <w:kinsoku w:val="0"/>
              <w:autoSpaceDE w:val="0"/>
              <w:autoSpaceDN w:val="0"/>
              <w:adjustRightInd w:val="0"/>
              <w:snapToGrid w:val="0"/>
              <w:spacing w:line="360" w:lineRule="auto"/>
              <w:jc w:val="center"/>
              <w:textAlignment w:val="baseline"/>
              <w:rPr>
                <w:b/>
                <w:color w:val="auto"/>
                <w:sz w:val="19"/>
              </w:rPr>
            </w:pPr>
          </w:p>
        </w:tc>
        <w:tc>
          <w:tcPr>
            <w:tcW w:w="955" w:type="dxa"/>
            <w:vAlign w:val="center"/>
          </w:tcPr>
          <w:p>
            <w:pPr>
              <w:widowControl/>
              <w:tabs>
                <w:tab w:val="left" w:pos="360"/>
                <w:tab w:val="left" w:pos="567"/>
              </w:tabs>
              <w:kinsoku w:val="0"/>
              <w:autoSpaceDE w:val="0"/>
              <w:autoSpaceDN w:val="0"/>
              <w:adjustRightInd w:val="0"/>
              <w:snapToGrid w:val="0"/>
              <w:spacing w:line="360" w:lineRule="auto"/>
              <w:jc w:val="center"/>
              <w:textAlignment w:val="baseline"/>
              <w:rPr>
                <w:b/>
                <w:color w:val="auto"/>
                <w:sz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widowControl/>
              <w:numPr>
                <w:ilvl w:val="0"/>
                <w:numId w:val="6"/>
              </w:numPr>
              <w:tabs>
                <w:tab w:val="left" w:pos="360"/>
                <w:tab w:val="left" w:pos="567"/>
              </w:tabs>
              <w:kinsoku w:val="0"/>
              <w:autoSpaceDE w:val="0"/>
              <w:autoSpaceDN w:val="0"/>
              <w:adjustRightInd w:val="0"/>
              <w:snapToGrid w:val="0"/>
              <w:spacing w:line="360" w:lineRule="auto"/>
              <w:jc w:val="center"/>
              <w:textAlignment w:val="baseline"/>
              <w:rPr>
                <w:rFonts w:hint="eastAsia" w:ascii="宋体" w:hAnsi="宋体" w:eastAsia="宋体"/>
                <w:color w:val="auto"/>
                <w:szCs w:val="21"/>
              </w:rPr>
            </w:pPr>
          </w:p>
        </w:tc>
        <w:tc>
          <w:tcPr>
            <w:tcW w:w="6944" w:type="dxa"/>
            <w:vAlign w:val="center"/>
          </w:tcPr>
          <w:p>
            <w:pPr>
              <w:widowControl/>
              <w:kinsoku w:val="0"/>
              <w:autoSpaceDE w:val="0"/>
              <w:autoSpaceDN w:val="0"/>
              <w:adjustRightInd w:val="0"/>
              <w:snapToGrid w:val="0"/>
              <w:spacing w:line="360" w:lineRule="auto"/>
              <w:ind w:firstLine="210"/>
              <w:jc w:val="left"/>
              <w:textAlignment w:val="baseline"/>
              <w:rPr>
                <w:rFonts w:ascii="Times New Roman" w:hAnsi="Times New Roman"/>
                <w:b/>
                <w:bCs/>
                <w:color w:val="auto"/>
                <w:szCs w:val="21"/>
              </w:rPr>
            </w:pPr>
          </w:p>
        </w:tc>
        <w:tc>
          <w:tcPr>
            <w:tcW w:w="673" w:type="dxa"/>
            <w:vAlign w:val="center"/>
          </w:tcPr>
          <w:p>
            <w:pPr>
              <w:widowControl/>
              <w:tabs>
                <w:tab w:val="left" w:pos="360"/>
                <w:tab w:val="left" w:pos="567"/>
              </w:tabs>
              <w:kinsoku w:val="0"/>
              <w:autoSpaceDE w:val="0"/>
              <w:autoSpaceDN w:val="0"/>
              <w:adjustRightInd w:val="0"/>
              <w:snapToGrid w:val="0"/>
              <w:spacing w:line="360" w:lineRule="auto"/>
              <w:jc w:val="center"/>
              <w:textAlignment w:val="baseline"/>
              <w:rPr>
                <w:color w:val="auto"/>
                <w:sz w:val="19"/>
              </w:rPr>
            </w:pPr>
          </w:p>
        </w:tc>
        <w:tc>
          <w:tcPr>
            <w:tcW w:w="955" w:type="dxa"/>
            <w:vAlign w:val="center"/>
          </w:tcPr>
          <w:p>
            <w:pPr>
              <w:widowControl/>
              <w:tabs>
                <w:tab w:val="left" w:pos="360"/>
                <w:tab w:val="left" w:pos="567"/>
              </w:tabs>
              <w:kinsoku w:val="0"/>
              <w:autoSpaceDE w:val="0"/>
              <w:autoSpaceDN w:val="0"/>
              <w:adjustRightInd w:val="0"/>
              <w:snapToGrid w:val="0"/>
              <w:spacing w:line="360" w:lineRule="auto"/>
              <w:jc w:val="center"/>
              <w:textAlignment w:val="baseline"/>
              <w:rPr>
                <w:b/>
                <w:color w:val="auto"/>
                <w:sz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widowControl/>
              <w:numPr>
                <w:ilvl w:val="0"/>
                <w:numId w:val="6"/>
              </w:numPr>
              <w:tabs>
                <w:tab w:val="left" w:pos="360"/>
                <w:tab w:val="left" w:pos="567"/>
              </w:tabs>
              <w:kinsoku w:val="0"/>
              <w:autoSpaceDE w:val="0"/>
              <w:autoSpaceDN w:val="0"/>
              <w:adjustRightInd w:val="0"/>
              <w:snapToGrid w:val="0"/>
              <w:spacing w:line="360" w:lineRule="auto"/>
              <w:jc w:val="center"/>
              <w:textAlignment w:val="baseline"/>
              <w:rPr>
                <w:rFonts w:hint="eastAsia" w:ascii="宋体" w:hAnsi="宋体" w:eastAsia="宋体"/>
                <w:color w:val="auto"/>
                <w:szCs w:val="21"/>
              </w:rPr>
            </w:pPr>
          </w:p>
        </w:tc>
        <w:tc>
          <w:tcPr>
            <w:tcW w:w="6944" w:type="dxa"/>
            <w:vAlign w:val="center"/>
          </w:tcPr>
          <w:p>
            <w:pPr>
              <w:spacing w:line="360" w:lineRule="auto"/>
              <w:rPr>
                <w:rFonts w:hint="eastAsia" w:ascii="宋体" w:hAnsi="宋体"/>
                <w:color w:val="auto"/>
                <w:szCs w:val="21"/>
              </w:rPr>
            </w:pPr>
          </w:p>
        </w:tc>
        <w:tc>
          <w:tcPr>
            <w:tcW w:w="673" w:type="dxa"/>
            <w:vAlign w:val="center"/>
          </w:tcPr>
          <w:p>
            <w:pPr>
              <w:widowControl/>
              <w:tabs>
                <w:tab w:val="left" w:pos="360"/>
                <w:tab w:val="left" w:pos="567"/>
              </w:tabs>
              <w:kinsoku w:val="0"/>
              <w:autoSpaceDE w:val="0"/>
              <w:autoSpaceDN w:val="0"/>
              <w:adjustRightInd w:val="0"/>
              <w:snapToGrid w:val="0"/>
              <w:spacing w:line="360" w:lineRule="auto"/>
              <w:jc w:val="left"/>
              <w:textAlignment w:val="baseline"/>
              <w:rPr>
                <w:rFonts w:hint="eastAsia" w:ascii="宋体" w:hAnsi="宋体"/>
                <w:color w:val="auto"/>
                <w:szCs w:val="21"/>
              </w:rPr>
            </w:pPr>
          </w:p>
        </w:tc>
        <w:tc>
          <w:tcPr>
            <w:tcW w:w="955" w:type="dxa"/>
            <w:vAlign w:val="center"/>
          </w:tcPr>
          <w:p>
            <w:pPr>
              <w:widowControl/>
              <w:tabs>
                <w:tab w:val="left" w:pos="360"/>
                <w:tab w:val="left" w:pos="567"/>
              </w:tabs>
              <w:kinsoku w:val="0"/>
              <w:autoSpaceDE w:val="0"/>
              <w:autoSpaceDN w:val="0"/>
              <w:adjustRightInd w:val="0"/>
              <w:snapToGrid w:val="0"/>
              <w:spacing w:line="360" w:lineRule="auto"/>
              <w:jc w:val="left"/>
              <w:textAlignment w:val="baseline"/>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widowControl/>
              <w:numPr>
                <w:ilvl w:val="0"/>
                <w:numId w:val="6"/>
              </w:numPr>
              <w:tabs>
                <w:tab w:val="left" w:pos="360"/>
                <w:tab w:val="left" w:pos="567"/>
              </w:tabs>
              <w:kinsoku w:val="0"/>
              <w:autoSpaceDE w:val="0"/>
              <w:autoSpaceDN w:val="0"/>
              <w:adjustRightInd w:val="0"/>
              <w:snapToGrid w:val="0"/>
              <w:spacing w:line="360" w:lineRule="auto"/>
              <w:jc w:val="center"/>
              <w:textAlignment w:val="baseline"/>
              <w:rPr>
                <w:rFonts w:hint="eastAsia" w:ascii="宋体" w:hAnsi="宋体" w:eastAsia="宋体"/>
                <w:color w:val="auto"/>
                <w:szCs w:val="21"/>
              </w:rPr>
            </w:pPr>
          </w:p>
        </w:tc>
        <w:tc>
          <w:tcPr>
            <w:tcW w:w="6944" w:type="dxa"/>
            <w:vAlign w:val="center"/>
          </w:tcPr>
          <w:p>
            <w:pPr>
              <w:spacing w:line="360" w:lineRule="auto"/>
              <w:rPr>
                <w:rFonts w:hint="eastAsia" w:ascii="宋体" w:hAnsi="宋体" w:eastAsia="宋体" w:cs="宋体"/>
                <w:b/>
                <w:color w:val="auto"/>
                <w:kern w:val="0"/>
                <w:szCs w:val="20"/>
              </w:rPr>
            </w:pPr>
          </w:p>
        </w:tc>
        <w:tc>
          <w:tcPr>
            <w:tcW w:w="673" w:type="dxa"/>
            <w:vAlign w:val="center"/>
          </w:tcPr>
          <w:p>
            <w:pPr>
              <w:widowControl/>
              <w:tabs>
                <w:tab w:val="left" w:pos="360"/>
                <w:tab w:val="left" w:pos="567"/>
              </w:tabs>
              <w:kinsoku w:val="0"/>
              <w:autoSpaceDE w:val="0"/>
              <w:autoSpaceDN w:val="0"/>
              <w:adjustRightInd w:val="0"/>
              <w:snapToGrid w:val="0"/>
              <w:spacing w:line="360" w:lineRule="auto"/>
              <w:jc w:val="left"/>
              <w:textAlignment w:val="baseline"/>
              <w:rPr>
                <w:rFonts w:hint="eastAsia" w:ascii="宋体" w:hAnsi="宋体"/>
                <w:color w:val="auto"/>
                <w:szCs w:val="21"/>
              </w:rPr>
            </w:pPr>
          </w:p>
        </w:tc>
        <w:tc>
          <w:tcPr>
            <w:tcW w:w="955" w:type="dxa"/>
            <w:vAlign w:val="center"/>
          </w:tcPr>
          <w:p>
            <w:pPr>
              <w:widowControl/>
              <w:tabs>
                <w:tab w:val="left" w:pos="360"/>
                <w:tab w:val="left" w:pos="567"/>
              </w:tabs>
              <w:kinsoku w:val="0"/>
              <w:autoSpaceDE w:val="0"/>
              <w:autoSpaceDN w:val="0"/>
              <w:adjustRightInd w:val="0"/>
              <w:snapToGrid w:val="0"/>
              <w:spacing w:line="360" w:lineRule="auto"/>
              <w:jc w:val="left"/>
              <w:textAlignment w:val="baseline"/>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widowControl/>
              <w:numPr>
                <w:ilvl w:val="0"/>
                <w:numId w:val="6"/>
              </w:numPr>
              <w:tabs>
                <w:tab w:val="left" w:pos="360"/>
                <w:tab w:val="left" w:pos="567"/>
              </w:tabs>
              <w:kinsoku w:val="0"/>
              <w:autoSpaceDE w:val="0"/>
              <w:autoSpaceDN w:val="0"/>
              <w:adjustRightInd w:val="0"/>
              <w:snapToGrid w:val="0"/>
              <w:spacing w:line="360" w:lineRule="auto"/>
              <w:jc w:val="center"/>
              <w:textAlignment w:val="baseline"/>
              <w:rPr>
                <w:rFonts w:hint="eastAsia" w:ascii="宋体" w:hAnsi="宋体" w:eastAsia="宋体"/>
                <w:color w:val="auto"/>
                <w:szCs w:val="21"/>
              </w:rPr>
            </w:pPr>
          </w:p>
        </w:tc>
        <w:tc>
          <w:tcPr>
            <w:tcW w:w="6944" w:type="dxa"/>
            <w:vAlign w:val="center"/>
          </w:tcPr>
          <w:p>
            <w:pPr>
              <w:spacing w:line="360" w:lineRule="auto"/>
              <w:rPr>
                <w:rFonts w:hint="eastAsia" w:ascii="宋体" w:hAnsi="宋体" w:eastAsia="宋体" w:cs="宋体"/>
                <w:color w:val="auto"/>
              </w:rPr>
            </w:pPr>
          </w:p>
        </w:tc>
        <w:tc>
          <w:tcPr>
            <w:tcW w:w="673" w:type="dxa"/>
            <w:vAlign w:val="center"/>
          </w:tcPr>
          <w:p>
            <w:pPr>
              <w:widowControl/>
              <w:tabs>
                <w:tab w:val="left" w:pos="360"/>
                <w:tab w:val="left" w:pos="567"/>
              </w:tabs>
              <w:kinsoku w:val="0"/>
              <w:autoSpaceDE w:val="0"/>
              <w:autoSpaceDN w:val="0"/>
              <w:adjustRightInd w:val="0"/>
              <w:snapToGrid w:val="0"/>
              <w:spacing w:line="360" w:lineRule="auto"/>
              <w:jc w:val="left"/>
              <w:textAlignment w:val="baseline"/>
              <w:rPr>
                <w:rFonts w:hint="eastAsia" w:ascii="宋体" w:hAnsi="宋体"/>
                <w:color w:val="auto"/>
                <w:szCs w:val="21"/>
              </w:rPr>
            </w:pPr>
          </w:p>
        </w:tc>
        <w:tc>
          <w:tcPr>
            <w:tcW w:w="955" w:type="dxa"/>
            <w:vAlign w:val="center"/>
          </w:tcPr>
          <w:p>
            <w:pPr>
              <w:widowControl/>
              <w:tabs>
                <w:tab w:val="left" w:pos="360"/>
                <w:tab w:val="left" w:pos="567"/>
              </w:tabs>
              <w:kinsoku w:val="0"/>
              <w:autoSpaceDE w:val="0"/>
              <w:autoSpaceDN w:val="0"/>
              <w:adjustRightInd w:val="0"/>
              <w:snapToGrid w:val="0"/>
              <w:spacing w:line="360" w:lineRule="auto"/>
              <w:jc w:val="left"/>
              <w:textAlignment w:val="baseline"/>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0" w:type="auto"/>
            <w:vAlign w:val="center"/>
          </w:tcPr>
          <w:p>
            <w:pPr>
              <w:widowControl/>
              <w:numPr>
                <w:ilvl w:val="0"/>
                <w:numId w:val="6"/>
              </w:numPr>
              <w:tabs>
                <w:tab w:val="left" w:pos="360"/>
                <w:tab w:val="left" w:pos="567"/>
              </w:tabs>
              <w:kinsoku w:val="0"/>
              <w:autoSpaceDE w:val="0"/>
              <w:autoSpaceDN w:val="0"/>
              <w:adjustRightInd w:val="0"/>
              <w:snapToGrid w:val="0"/>
              <w:spacing w:line="360" w:lineRule="auto"/>
              <w:jc w:val="center"/>
              <w:textAlignment w:val="baseline"/>
              <w:rPr>
                <w:rFonts w:hint="eastAsia" w:ascii="宋体" w:hAnsi="宋体" w:eastAsia="宋体"/>
                <w:color w:val="auto"/>
                <w:szCs w:val="21"/>
              </w:rPr>
            </w:pPr>
          </w:p>
        </w:tc>
        <w:tc>
          <w:tcPr>
            <w:tcW w:w="6944" w:type="dxa"/>
            <w:vAlign w:val="center"/>
          </w:tcPr>
          <w:p>
            <w:pPr>
              <w:spacing w:line="360" w:lineRule="auto"/>
              <w:rPr>
                <w:rFonts w:hint="eastAsia" w:ascii="宋体" w:hAnsi="宋体" w:eastAsia="宋体" w:cs="宋体"/>
                <w:color w:val="auto"/>
              </w:rPr>
            </w:pPr>
          </w:p>
        </w:tc>
        <w:tc>
          <w:tcPr>
            <w:tcW w:w="673" w:type="dxa"/>
            <w:vAlign w:val="center"/>
          </w:tcPr>
          <w:p>
            <w:pPr>
              <w:widowControl/>
              <w:tabs>
                <w:tab w:val="left" w:pos="360"/>
                <w:tab w:val="left" w:pos="567"/>
              </w:tabs>
              <w:kinsoku w:val="0"/>
              <w:autoSpaceDE w:val="0"/>
              <w:autoSpaceDN w:val="0"/>
              <w:adjustRightInd w:val="0"/>
              <w:snapToGrid w:val="0"/>
              <w:spacing w:line="360" w:lineRule="auto"/>
              <w:jc w:val="left"/>
              <w:textAlignment w:val="baseline"/>
              <w:rPr>
                <w:rFonts w:hint="eastAsia" w:ascii="宋体" w:hAnsi="宋体"/>
                <w:color w:val="auto"/>
                <w:szCs w:val="21"/>
              </w:rPr>
            </w:pPr>
          </w:p>
        </w:tc>
        <w:tc>
          <w:tcPr>
            <w:tcW w:w="955" w:type="dxa"/>
            <w:vAlign w:val="center"/>
          </w:tcPr>
          <w:p>
            <w:pPr>
              <w:widowControl/>
              <w:tabs>
                <w:tab w:val="left" w:pos="360"/>
                <w:tab w:val="left" w:pos="567"/>
              </w:tabs>
              <w:kinsoku w:val="0"/>
              <w:autoSpaceDE w:val="0"/>
              <w:autoSpaceDN w:val="0"/>
              <w:adjustRightInd w:val="0"/>
              <w:snapToGrid w:val="0"/>
              <w:spacing w:line="360" w:lineRule="auto"/>
              <w:jc w:val="left"/>
              <w:textAlignment w:val="baseline"/>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widowControl/>
              <w:numPr>
                <w:ilvl w:val="0"/>
                <w:numId w:val="6"/>
              </w:numPr>
              <w:tabs>
                <w:tab w:val="left" w:pos="360"/>
                <w:tab w:val="left" w:pos="567"/>
              </w:tabs>
              <w:kinsoku w:val="0"/>
              <w:autoSpaceDE w:val="0"/>
              <w:autoSpaceDN w:val="0"/>
              <w:adjustRightInd w:val="0"/>
              <w:snapToGrid w:val="0"/>
              <w:spacing w:line="360" w:lineRule="auto"/>
              <w:jc w:val="center"/>
              <w:textAlignment w:val="baseline"/>
              <w:rPr>
                <w:rFonts w:hint="eastAsia" w:ascii="宋体" w:hAnsi="宋体" w:eastAsia="宋体"/>
                <w:color w:val="auto"/>
                <w:szCs w:val="21"/>
              </w:rPr>
            </w:pPr>
          </w:p>
        </w:tc>
        <w:tc>
          <w:tcPr>
            <w:tcW w:w="6944" w:type="dxa"/>
            <w:vAlign w:val="center"/>
          </w:tcPr>
          <w:p>
            <w:pPr>
              <w:spacing w:line="360" w:lineRule="auto"/>
              <w:rPr>
                <w:rFonts w:hint="eastAsia" w:ascii="宋体" w:hAnsi="宋体" w:eastAsia="宋体" w:cs="宋体"/>
                <w:color w:val="auto"/>
              </w:rPr>
            </w:pPr>
          </w:p>
        </w:tc>
        <w:tc>
          <w:tcPr>
            <w:tcW w:w="673" w:type="dxa"/>
            <w:vAlign w:val="center"/>
          </w:tcPr>
          <w:p>
            <w:pPr>
              <w:widowControl/>
              <w:tabs>
                <w:tab w:val="left" w:pos="360"/>
                <w:tab w:val="left" w:pos="567"/>
              </w:tabs>
              <w:kinsoku w:val="0"/>
              <w:autoSpaceDE w:val="0"/>
              <w:autoSpaceDN w:val="0"/>
              <w:adjustRightInd w:val="0"/>
              <w:snapToGrid w:val="0"/>
              <w:spacing w:line="360" w:lineRule="auto"/>
              <w:jc w:val="left"/>
              <w:textAlignment w:val="baseline"/>
              <w:rPr>
                <w:rFonts w:hint="eastAsia" w:ascii="宋体" w:hAnsi="宋体"/>
                <w:color w:val="auto"/>
                <w:szCs w:val="21"/>
              </w:rPr>
            </w:pPr>
          </w:p>
        </w:tc>
        <w:tc>
          <w:tcPr>
            <w:tcW w:w="955" w:type="dxa"/>
            <w:vAlign w:val="center"/>
          </w:tcPr>
          <w:p>
            <w:pPr>
              <w:widowControl/>
              <w:tabs>
                <w:tab w:val="left" w:pos="360"/>
                <w:tab w:val="left" w:pos="567"/>
              </w:tabs>
              <w:kinsoku w:val="0"/>
              <w:autoSpaceDE w:val="0"/>
              <w:autoSpaceDN w:val="0"/>
              <w:adjustRightInd w:val="0"/>
              <w:snapToGrid w:val="0"/>
              <w:spacing w:line="360" w:lineRule="auto"/>
              <w:jc w:val="left"/>
              <w:textAlignment w:val="baseline"/>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widowControl/>
              <w:numPr>
                <w:ilvl w:val="0"/>
                <w:numId w:val="6"/>
              </w:numPr>
              <w:tabs>
                <w:tab w:val="left" w:pos="360"/>
                <w:tab w:val="left" w:pos="567"/>
              </w:tabs>
              <w:kinsoku w:val="0"/>
              <w:autoSpaceDE w:val="0"/>
              <w:autoSpaceDN w:val="0"/>
              <w:adjustRightInd w:val="0"/>
              <w:snapToGrid w:val="0"/>
              <w:spacing w:line="360" w:lineRule="auto"/>
              <w:jc w:val="center"/>
              <w:textAlignment w:val="baseline"/>
              <w:rPr>
                <w:rFonts w:hint="eastAsia" w:ascii="宋体" w:hAnsi="宋体" w:eastAsia="宋体"/>
                <w:color w:val="auto"/>
                <w:szCs w:val="21"/>
              </w:rPr>
            </w:pPr>
          </w:p>
        </w:tc>
        <w:tc>
          <w:tcPr>
            <w:tcW w:w="6944" w:type="dxa"/>
            <w:vAlign w:val="center"/>
          </w:tcPr>
          <w:p>
            <w:pPr>
              <w:spacing w:line="360" w:lineRule="auto"/>
              <w:rPr>
                <w:rFonts w:hint="eastAsia" w:ascii="宋体" w:hAnsi="宋体" w:eastAsia="宋体" w:cs="宋体"/>
                <w:color w:val="auto"/>
              </w:rPr>
            </w:pPr>
          </w:p>
        </w:tc>
        <w:tc>
          <w:tcPr>
            <w:tcW w:w="673" w:type="dxa"/>
            <w:vAlign w:val="center"/>
          </w:tcPr>
          <w:p>
            <w:pPr>
              <w:widowControl/>
              <w:tabs>
                <w:tab w:val="left" w:pos="360"/>
                <w:tab w:val="left" w:pos="567"/>
              </w:tabs>
              <w:kinsoku w:val="0"/>
              <w:autoSpaceDE w:val="0"/>
              <w:autoSpaceDN w:val="0"/>
              <w:adjustRightInd w:val="0"/>
              <w:snapToGrid w:val="0"/>
              <w:spacing w:line="360" w:lineRule="auto"/>
              <w:jc w:val="left"/>
              <w:textAlignment w:val="baseline"/>
              <w:rPr>
                <w:rFonts w:hint="eastAsia" w:ascii="宋体" w:hAnsi="宋体"/>
                <w:color w:val="auto"/>
                <w:szCs w:val="21"/>
              </w:rPr>
            </w:pPr>
          </w:p>
        </w:tc>
        <w:tc>
          <w:tcPr>
            <w:tcW w:w="955" w:type="dxa"/>
            <w:vAlign w:val="center"/>
          </w:tcPr>
          <w:p>
            <w:pPr>
              <w:widowControl/>
              <w:tabs>
                <w:tab w:val="left" w:pos="360"/>
                <w:tab w:val="left" w:pos="567"/>
              </w:tabs>
              <w:kinsoku w:val="0"/>
              <w:autoSpaceDE w:val="0"/>
              <w:autoSpaceDN w:val="0"/>
              <w:adjustRightInd w:val="0"/>
              <w:snapToGrid w:val="0"/>
              <w:spacing w:line="360" w:lineRule="auto"/>
              <w:jc w:val="left"/>
              <w:textAlignment w:val="baseline"/>
              <w:rPr>
                <w:rFonts w:hint="eastAsia" w:ascii="宋体" w:hAnsi="宋体"/>
                <w:color w:val="auto"/>
                <w:szCs w:val="21"/>
              </w:rPr>
            </w:pPr>
          </w:p>
        </w:tc>
      </w:tr>
    </w:tbl>
    <w:p>
      <w:pPr>
        <w:rPr>
          <w:rFonts w:hint="eastAsia" w:ascii="宋体" w:hAnsi="宋体" w:eastAsia="宋体"/>
          <w:b/>
          <w:bCs/>
          <w:color w:val="auto"/>
          <w:szCs w:val="21"/>
        </w:rPr>
      </w:pPr>
    </w:p>
    <w:p>
      <w:pPr>
        <w:rPr>
          <w:rFonts w:ascii="Times New Roman" w:hAnsi="Times New Roman" w:eastAsia="宋体" w:cs="宋体"/>
          <w:b/>
          <w:bCs/>
          <w:color w:val="auto"/>
          <w:szCs w:val="21"/>
        </w:rPr>
      </w:pPr>
      <w:r>
        <w:rPr>
          <w:rFonts w:ascii="Times New Roman" w:hAnsi="Times New Roman" w:eastAsia="宋体" w:cs="宋体"/>
          <w:b/>
          <w:bCs/>
          <w:color w:val="auto"/>
          <w:szCs w:val="21"/>
        </w:rPr>
        <w:br w:type="page"/>
      </w:r>
    </w:p>
    <w:p>
      <w:pPr>
        <w:spacing w:line="360" w:lineRule="auto"/>
        <w:jc w:val="left"/>
        <w:outlineLvl w:val="2"/>
        <w:rPr>
          <w:rFonts w:ascii="Times New Roman" w:hAnsi="Times New Roman" w:eastAsia="宋体" w:cs="宋体"/>
          <w:b/>
          <w:bCs/>
          <w:color w:val="auto"/>
          <w:szCs w:val="21"/>
        </w:rPr>
      </w:pPr>
      <w:r>
        <w:rPr>
          <w:rFonts w:hint="eastAsia" w:ascii="Times New Roman" w:hAnsi="Times New Roman" w:eastAsia="宋体" w:cs="宋体"/>
          <w:b/>
          <w:bCs/>
          <w:color w:val="auto"/>
          <w:szCs w:val="21"/>
        </w:rPr>
        <w:t>六、同类项目成交记录</w:t>
      </w:r>
      <w:bookmarkEnd w:id="30"/>
      <w:bookmarkEnd w:id="31"/>
      <w:r>
        <w:rPr>
          <w:rFonts w:hint="eastAsia" w:ascii="Times New Roman" w:hAnsi="Times New Roman" w:eastAsia="宋体" w:cs="宋体"/>
          <w:b/>
          <w:bCs/>
          <w:color w:val="auto"/>
          <w:szCs w:val="21"/>
        </w:rPr>
        <w:t>（与喷印环境维持系统相关）</w:t>
      </w:r>
    </w:p>
    <w:tbl>
      <w:tblPr>
        <w:tblStyle w:val="28"/>
        <w:tblW w:w="4997" w:type="pct"/>
        <w:tblInd w:w="0" w:type="dxa"/>
        <w:tblLayout w:type="autofit"/>
        <w:tblCellMar>
          <w:top w:w="0" w:type="dxa"/>
          <w:left w:w="0" w:type="dxa"/>
          <w:bottom w:w="0" w:type="dxa"/>
          <w:right w:w="0" w:type="dxa"/>
        </w:tblCellMar>
      </w:tblPr>
      <w:tblGrid>
        <w:gridCol w:w="969"/>
        <w:gridCol w:w="969"/>
        <w:gridCol w:w="947"/>
        <w:gridCol w:w="969"/>
        <w:gridCol w:w="947"/>
        <w:gridCol w:w="1414"/>
        <w:gridCol w:w="969"/>
        <w:gridCol w:w="1147"/>
      </w:tblGrid>
      <w:tr>
        <w:tblPrEx>
          <w:tblCellMar>
            <w:top w:w="0" w:type="dxa"/>
            <w:left w:w="0" w:type="dxa"/>
            <w:bottom w:w="0" w:type="dxa"/>
            <w:right w:w="0" w:type="dxa"/>
          </w:tblCellMar>
        </w:tblPrEx>
        <w:trPr>
          <w:trHeight w:val="477" w:hRule="atLeast"/>
        </w:trPr>
        <w:tc>
          <w:tcPr>
            <w:tcW w:w="58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rFonts w:ascii="Times New Roman" w:hAnsi="Times New Roman" w:eastAsia="宋体" w:cs="宋体"/>
                <w:b/>
                <w:color w:val="auto"/>
                <w:kern w:val="0"/>
                <w:szCs w:val="21"/>
              </w:rPr>
            </w:pPr>
            <w:r>
              <w:rPr>
                <w:rFonts w:hint="eastAsia" w:ascii="Times New Roman" w:hAnsi="Times New Roman" w:eastAsia="宋体" w:cs="宋体"/>
                <w:b/>
                <w:color w:val="auto"/>
                <w:kern w:val="0"/>
                <w:szCs w:val="21"/>
              </w:rPr>
              <w:t>项目名称</w:t>
            </w:r>
          </w:p>
        </w:tc>
        <w:tc>
          <w:tcPr>
            <w:tcW w:w="581" w:type="pct"/>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widowControl/>
              <w:spacing w:line="360" w:lineRule="auto"/>
              <w:jc w:val="center"/>
              <w:textAlignment w:val="center"/>
              <w:rPr>
                <w:rFonts w:ascii="Times New Roman" w:hAnsi="Times New Roman" w:eastAsia="宋体" w:cs="宋体"/>
                <w:b/>
                <w:color w:val="auto"/>
                <w:kern w:val="0"/>
                <w:szCs w:val="21"/>
              </w:rPr>
            </w:pPr>
            <w:r>
              <w:rPr>
                <w:rFonts w:hint="eastAsia" w:ascii="Times New Roman" w:hAnsi="Times New Roman" w:eastAsia="宋体" w:cs="宋体"/>
                <w:b/>
                <w:color w:val="auto"/>
                <w:kern w:val="0"/>
                <w:szCs w:val="21"/>
              </w:rPr>
              <w:t>项目内容</w:t>
            </w:r>
          </w:p>
        </w:tc>
        <w:tc>
          <w:tcPr>
            <w:tcW w:w="568" w:type="pct"/>
            <w:tcBorders>
              <w:top w:val="single" w:color="000000" w:sz="4" w:space="0"/>
              <w:left w:val="single" w:color="auto" w:sz="4" w:space="0"/>
              <w:bottom w:val="single" w:color="000000" w:sz="4" w:space="0"/>
              <w:right w:val="single" w:color="000000" w:sz="4" w:space="0"/>
            </w:tcBorders>
            <w:vAlign w:val="center"/>
          </w:tcPr>
          <w:p>
            <w:pPr>
              <w:spacing w:line="360" w:lineRule="auto"/>
              <w:jc w:val="center"/>
              <w:textAlignment w:val="center"/>
              <w:rPr>
                <w:rFonts w:ascii="Times New Roman" w:hAnsi="Times New Roman" w:eastAsia="宋体" w:cs="宋体"/>
                <w:b/>
                <w:color w:val="auto"/>
                <w:kern w:val="0"/>
                <w:szCs w:val="21"/>
              </w:rPr>
            </w:pPr>
            <w:r>
              <w:rPr>
                <w:rFonts w:hint="eastAsia" w:ascii="Times New Roman" w:hAnsi="Times New Roman" w:eastAsia="宋体" w:cs="宋体"/>
                <w:b/>
                <w:color w:val="auto"/>
                <w:kern w:val="0"/>
                <w:szCs w:val="21"/>
              </w:rPr>
              <w:t>采购单位</w:t>
            </w:r>
          </w:p>
        </w:tc>
        <w:tc>
          <w:tcPr>
            <w:tcW w:w="581" w:type="pct"/>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widowControl/>
              <w:spacing w:line="360" w:lineRule="auto"/>
              <w:jc w:val="center"/>
              <w:textAlignment w:val="center"/>
              <w:rPr>
                <w:rFonts w:ascii="Times New Roman" w:hAnsi="Times New Roman" w:eastAsia="宋体" w:cs="宋体"/>
                <w:b/>
                <w:color w:val="auto"/>
                <w:kern w:val="0"/>
                <w:szCs w:val="21"/>
              </w:rPr>
            </w:pPr>
            <w:r>
              <w:rPr>
                <w:rFonts w:hint="eastAsia" w:ascii="Times New Roman" w:hAnsi="Times New Roman" w:eastAsia="宋体" w:cs="宋体"/>
                <w:b/>
                <w:color w:val="auto"/>
                <w:kern w:val="0"/>
                <w:szCs w:val="21"/>
              </w:rPr>
              <w:t>预算金额</w:t>
            </w:r>
          </w:p>
        </w:tc>
        <w:tc>
          <w:tcPr>
            <w:tcW w:w="568" w:type="pct"/>
            <w:tcBorders>
              <w:top w:val="single" w:color="000000" w:sz="4" w:space="0"/>
              <w:left w:val="single" w:color="auto" w:sz="4" w:space="0"/>
              <w:bottom w:val="single" w:color="000000" w:sz="4" w:space="0"/>
              <w:right w:val="single" w:color="000000" w:sz="4" w:space="0"/>
            </w:tcBorders>
            <w:vAlign w:val="center"/>
          </w:tcPr>
          <w:p>
            <w:pPr>
              <w:spacing w:line="360" w:lineRule="auto"/>
              <w:jc w:val="center"/>
              <w:textAlignment w:val="center"/>
              <w:rPr>
                <w:rFonts w:ascii="Times New Roman" w:hAnsi="Times New Roman" w:eastAsia="宋体" w:cs="宋体"/>
                <w:b/>
                <w:color w:val="auto"/>
                <w:kern w:val="0"/>
                <w:szCs w:val="21"/>
              </w:rPr>
            </w:pPr>
            <w:r>
              <w:rPr>
                <w:rFonts w:hint="eastAsia" w:ascii="Times New Roman" w:hAnsi="Times New Roman" w:eastAsia="宋体" w:cs="宋体"/>
                <w:b/>
                <w:color w:val="auto"/>
                <w:kern w:val="0"/>
                <w:szCs w:val="21"/>
              </w:rPr>
              <w:t>购买时间</w:t>
            </w:r>
          </w:p>
        </w:tc>
        <w:tc>
          <w:tcPr>
            <w:tcW w:w="848" w:type="pct"/>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imes New Roman" w:hAnsi="Times New Roman" w:eastAsia="宋体" w:cs="宋体"/>
                <w:b/>
                <w:color w:val="auto"/>
                <w:kern w:val="0"/>
                <w:szCs w:val="21"/>
              </w:rPr>
            </w:pPr>
            <w:r>
              <w:rPr>
                <w:rFonts w:hint="eastAsia" w:ascii="Times New Roman" w:hAnsi="Times New Roman" w:eastAsia="宋体" w:cs="宋体"/>
                <w:b/>
                <w:color w:val="auto"/>
                <w:kern w:val="0"/>
                <w:szCs w:val="21"/>
              </w:rPr>
              <w:t>联系人、电话</w:t>
            </w:r>
          </w:p>
        </w:tc>
        <w:tc>
          <w:tcPr>
            <w:tcW w:w="58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rFonts w:ascii="Times New Roman" w:hAnsi="Times New Roman" w:eastAsia="宋体" w:cs="宋体"/>
                <w:b/>
                <w:color w:val="auto"/>
                <w:kern w:val="0"/>
                <w:szCs w:val="21"/>
              </w:rPr>
            </w:pPr>
            <w:r>
              <w:rPr>
                <w:rFonts w:hint="eastAsia" w:ascii="Times New Roman" w:hAnsi="Times New Roman" w:eastAsia="宋体" w:cs="宋体"/>
                <w:b/>
                <w:color w:val="auto"/>
                <w:kern w:val="0"/>
                <w:szCs w:val="21"/>
              </w:rPr>
              <w:t>成交金额</w:t>
            </w:r>
          </w:p>
        </w:tc>
        <w:tc>
          <w:tcPr>
            <w:tcW w:w="68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rFonts w:ascii="Times New Roman" w:hAnsi="Times New Roman" w:eastAsia="宋体" w:cs="宋体"/>
                <w:b/>
                <w:color w:val="auto"/>
                <w:kern w:val="0"/>
                <w:szCs w:val="21"/>
              </w:rPr>
            </w:pPr>
            <w:r>
              <w:rPr>
                <w:rFonts w:hint="eastAsia" w:ascii="Times New Roman" w:hAnsi="Times New Roman" w:eastAsia="宋体" w:cs="宋体"/>
                <w:b/>
                <w:color w:val="auto"/>
                <w:kern w:val="0"/>
                <w:szCs w:val="21"/>
              </w:rPr>
              <w:t>用户评价</w:t>
            </w:r>
          </w:p>
        </w:tc>
      </w:tr>
      <w:tr>
        <w:tblPrEx>
          <w:tblCellMar>
            <w:top w:w="0" w:type="dxa"/>
            <w:left w:w="0" w:type="dxa"/>
            <w:bottom w:w="0" w:type="dxa"/>
            <w:right w:w="0" w:type="dxa"/>
          </w:tblCellMar>
        </w:tblPrEx>
        <w:trPr>
          <w:trHeight w:val="424" w:hRule="atLeast"/>
        </w:trPr>
        <w:tc>
          <w:tcPr>
            <w:tcW w:w="581"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360" w:lineRule="auto"/>
              <w:jc w:val="center"/>
              <w:textAlignment w:val="center"/>
              <w:rPr>
                <w:rFonts w:ascii="Times New Roman" w:hAnsi="Times New Roman" w:eastAsia="宋体" w:cs="宋体"/>
                <w:bCs/>
                <w:color w:val="auto"/>
                <w:szCs w:val="21"/>
              </w:rPr>
            </w:pPr>
          </w:p>
        </w:tc>
        <w:tc>
          <w:tcPr>
            <w:tcW w:w="581" w:type="pct"/>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pPr>
              <w:widowControl/>
              <w:spacing w:line="360" w:lineRule="auto"/>
              <w:jc w:val="left"/>
              <w:textAlignment w:val="center"/>
              <w:rPr>
                <w:rFonts w:ascii="Times New Roman" w:hAnsi="Times New Roman" w:eastAsia="宋体" w:cs="宋体"/>
                <w:color w:val="auto"/>
                <w:szCs w:val="21"/>
              </w:rPr>
            </w:pPr>
          </w:p>
        </w:tc>
        <w:tc>
          <w:tcPr>
            <w:tcW w:w="568" w:type="pct"/>
            <w:tcBorders>
              <w:top w:val="single" w:color="000000" w:sz="4" w:space="0"/>
              <w:left w:val="single" w:color="auto" w:sz="4" w:space="0"/>
              <w:bottom w:val="single" w:color="auto" w:sz="4" w:space="0"/>
              <w:right w:val="single" w:color="000000" w:sz="4" w:space="0"/>
            </w:tcBorders>
            <w:vAlign w:val="center"/>
          </w:tcPr>
          <w:p>
            <w:pPr>
              <w:widowControl/>
              <w:spacing w:line="360" w:lineRule="auto"/>
              <w:jc w:val="left"/>
              <w:textAlignment w:val="center"/>
              <w:rPr>
                <w:rFonts w:ascii="Times New Roman" w:hAnsi="Times New Roman" w:eastAsia="宋体" w:cs="宋体"/>
                <w:color w:val="auto"/>
                <w:szCs w:val="21"/>
              </w:rPr>
            </w:pPr>
          </w:p>
        </w:tc>
        <w:tc>
          <w:tcPr>
            <w:tcW w:w="581" w:type="pct"/>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pPr>
              <w:spacing w:line="360" w:lineRule="auto"/>
              <w:jc w:val="left"/>
              <w:rPr>
                <w:rFonts w:ascii="Times New Roman" w:hAnsi="Times New Roman" w:eastAsia="宋体" w:cs="宋体"/>
                <w:color w:val="auto"/>
                <w:szCs w:val="21"/>
              </w:rPr>
            </w:pPr>
          </w:p>
        </w:tc>
        <w:tc>
          <w:tcPr>
            <w:tcW w:w="568" w:type="pct"/>
            <w:tcBorders>
              <w:top w:val="single" w:color="000000" w:sz="4" w:space="0"/>
              <w:left w:val="single" w:color="auto" w:sz="4" w:space="0"/>
              <w:bottom w:val="single" w:color="auto" w:sz="4" w:space="0"/>
              <w:right w:val="single" w:color="000000" w:sz="4" w:space="0"/>
            </w:tcBorders>
            <w:vAlign w:val="center"/>
          </w:tcPr>
          <w:p>
            <w:pPr>
              <w:spacing w:line="360" w:lineRule="auto"/>
              <w:jc w:val="left"/>
              <w:rPr>
                <w:rFonts w:ascii="Times New Roman" w:hAnsi="Times New Roman" w:eastAsia="宋体" w:cs="宋体"/>
                <w:color w:val="auto"/>
                <w:szCs w:val="21"/>
              </w:rPr>
            </w:pPr>
          </w:p>
        </w:tc>
        <w:tc>
          <w:tcPr>
            <w:tcW w:w="848" w:type="pct"/>
            <w:tcBorders>
              <w:top w:val="single" w:color="000000" w:sz="4" w:space="0"/>
              <w:left w:val="single" w:color="000000" w:sz="4" w:space="0"/>
              <w:bottom w:val="single" w:color="auto" w:sz="4" w:space="0"/>
              <w:right w:val="single" w:color="000000" w:sz="4" w:space="0"/>
            </w:tcBorders>
          </w:tcPr>
          <w:p>
            <w:pPr>
              <w:spacing w:line="360" w:lineRule="auto"/>
              <w:jc w:val="left"/>
              <w:rPr>
                <w:rFonts w:ascii="Times New Roman" w:hAnsi="Times New Roman" w:eastAsia="宋体" w:cs="宋体"/>
                <w:color w:val="auto"/>
                <w:szCs w:val="21"/>
              </w:rPr>
            </w:pPr>
          </w:p>
        </w:tc>
        <w:tc>
          <w:tcPr>
            <w:tcW w:w="581"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spacing w:line="360" w:lineRule="auto"/>
              <w:jc w:val="left"/>
              <w:rPr>
                <w:rFonts w:ascii="Times New Roman" w:hAnsi="Times New Roman" w:eastAsia="宋体" w:cs="宋体"/>
                <w:color w:val="auto"/>
                <w:szCs w:val="21"/>
              </w:rPr>
            </w:pPr>
          </w:p>
        </w:tc>
        <w:tc>
          <w:tcPr>
            <w:tcW w:w="688"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spacing w:line="360" w:lineRule="auto"/>
              <w:jc w:val="left"/>
              <w:rPr>
                <w:rFonts w:ascii="Times New Roman" w:hAnsi="Times New Roman" w:eastAsia="宋体" w:cs="宋体"/>
                <w:color w:val="auto"/>
                <w:szCs w:val="21"/>
              </w:rPr>
            </w:pPr>
          </w:p>
        </w:tc>
      </w:tr>
      <w:tr>
        <w:tblPrEx>
          <w:tblCellMar>
            <w:top w:w="0" w:type="dxa"/>
            <w:left w:w="0" w:type="dxa"/>
            <w:bottom w:w="0" w:type="dxa"/>
            <w:right w:w="0" w:type="dxa"/>
          </w:tblCellMar>
        </w:tblPrEx>
        <w:trPr>
          <w:trHeight w:val="424" w:hRule="atLeast"/>
        </w:trPr>
        <w:tc>
          <w:tcPr>
            <w:tcW w:w="581"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spacing w:line="360" w:lineRule="auto"/>
              <w:jc w:val="center"/>
              <w:textAlignment w:val="center"/>
              <w:rPr>
                <w:rFonts w:ascii="Times New Roman" w:hAnsi="Times New Roman" w:eastAsia="宋体" w:cs="宋体"/>
                <w:bCs/>
                <w:color w:val="auto"/>
                <w:szCs w:val="21"/>
              </w:rPr>
            </w:pPr>
          </w:p>
        </w:tc>
        <w:tc>
          <w:tcPr>
            <w:tcW w:w="581" w:type="pct"/>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pPr>
              <w:widowControl/>
              <w:spacing w:line="360" w:lineRule="auto"/>
              <w:jc w:val="left"/>
              <w:textAlignment w:val="center"/>
              <w:rPr>
                <w:rFonts w:ascii="Times New Roman" w:hAnsi="Times New Roman" w:eastAsia="宋体" w:cs="宋体"/>
                <w:color w:val="auto"/>
                <w:szCs w:val="21"/>
              </w:rPr>
            </w:pPr>
          </w:p>
        </w:tc>
        <w:tc>
          <w:tcPr>
            <w:tcW w:w="568" w:type="pct"/>
            <w:tcBorders>
              <w:top w:val="single" w:color="000000" w:sz="4" w:space="0"/>
              <w:left w:val="single" w:color="auto" w:sz="4" w:space="0"/>
              <w:bottom w:val="single" w:color="auto" w:sz="4" w:space="0"/>
              <w:right w:val="single" w:color="000000" w:sz="4" w:space="0"/>
            </w:tcBorders>
            <w:vAlign w:val="center"/>
          </w:tcPr>
          <w:p>
            <w:pPr>
              <w:widowControl/>
              <w:spacing w:line="360" w:lineRule="auto"/>
              <w:jc w:val="left"/>
              <w:textAlignment w:val="center"/>
              <w:rPr>
                <w:rFonts w:ascii="Times New Roman" w:hAnsi="Times New Roman" w:eastAsia="宋体" w:cs="宋体"/>
                <w:color w:val="auto"/>
                <w:szCs w:val="21"/>
              </w:rPr>
            </w:pPr>
          </w:p>
        </w:tc>
        <w:tc>
          <w:tcPr>
            <w:tcW w:w="581" w:type="pct"/>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pPr>
              <w:spacing w:line="360" w:lineRule="auto"/>
              <w:jc w:val="left"/>
              <w:rPr>
                <w:rFonts w:ascii="Times New Roman" w:hAnsi="Times New Roman" w:eastAsia="宋体" w:cs="宋体"/>
                <w:color w:val="auto"/>
                <w:szCs w:val="21"/>
              </w:rPr>
            </w:pPr>
          </w:p>
        </w:tc>
        <w:tc>
          <w:tcPr>
            <w:tcW w:w="568" w:type="pct"/>
            <w:tcBorders>
              <w:top w:val="single" w:color="000000" w:sz="4" w:space="0"/>
              <w:left w:val="single" w:color="auto" w:sz="4" w:space="0"/>
              <w:bottom w:val="single" w:color="auto" w:sz="4" w:space="0"/>
              <w:right w:val="single" w:color="000000" w:sz="4" w:space="0"/>
            </w:tcBorders>
            <w:vAlign w:val="center"/>
          </w:tcPr>
          <w:p>
            <w:pPr>
              <w:spacing w:line="360" w:lineRule="auto"/>
              <w:jc w:val="left"/>
              <w:rPr>
                <w:rFonts w:ascii="Times New Roman" w:hAnsi="Times New Roman" w:eastAsia="宋体" w:cs="宋体"/>
                <w:color w:val="auto"/>
                <w:szCs w:val="21"/>
              </w:rPr>
            </w:pPr>
          </w:p>
        </w:tc>
        <w:tc>
          <w:tcPr>
            <w:tcW w:w="848" w:type="pct"/>
            <w:tcBorders>
              <w:top w:val="single" w:color="000000" w:sz="4" w:space="0"/>
              <w:left w:val="single" w:color="000000" w:sz="4" w:space="0"/>
              <w:bottom w:val="single" w:color="auto" w:sz="4" w:space="0"/>
              <w:right w:val="single" w:color="000000" w:sz="4" w:space="0"/>
            </w:tcBorders>
          </w:tcPr>
          <w:p>
            <w:pPr>
              <w:spacing w:line="360" w:lineRule="auto"/>
              <w:jc w:val="left"/>
              <w:rPr>
                <w:rFonts w:ascii="Times New Roman" w:hAnsi="Times New Roman" w:eastAsia="宋体" w:cs="宋体"/>
                <w:color w:val="auto"/>
                <w:szCs w:val="21"/>
              </w:rPr>
            </w:pPr>
          </w:p>
        </w:tc>
        <w:tc>
          <w:tcPr>
            <w:tcW w:w="581"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spacing w:line="360" w:lineRule="auto"/>
              <w:jc w:val="left"/>
              <w:rPr>
                <w:rFonts w:ascii="Times New Roman" w:hAnsi="Times New Roman" w:eastAsia="宋体" w:cs="宋体"/>
                <w:color w:val="auto"/>
                <w:szCs w:val="21"/>
              </w:rPr>
            </w:pPr>
          </w:p>
        </w:tc>
        <w:tc>
          <w:tcPr>
            <w:tcW w:w="688" w:type="pct"/>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spacing w:line="360" w:lineRule="auto"/>
              <w:jc w:val="left"/>
              <w:rPr>
                <w:rFonts w:ascii="Times New Roman" w:hAnsi="Times New Roman" w:eastAsia="宋体" w:cs="宋体"/>
                <w:color w:val="auto"/>
                <w:szCs w:val="21"/>
              </w:rPr>
            </w:pPr>
          </w:p>
        </w:tc>
      </w:tr>
      <w:tr>
        <w:tblPrEx>
          <w:tblCellMar>
            <w:top w:w="0" w:type="dxa"/>
            <w:left w:w="0" w:type="dxa"/>
            <w:bottom w:w="0" w:type="dxa"/>
            <w:right w:w="0" w:type="dxa"/>
          </w:tblCellMar>
        </w:tblPrEx>
        <w:trPr>
          <w:trHeight w:val="432" w:hRule="atLeast"/>
        </w:trPr>
        <w:tc>
          <w:tcPr>
            <w:tcW w:w="58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rFonts w:ascii="Times New Roman" w:hAnsi="Times New Roman" w:eastAsia="宋体" w:cs="宋体"/>
                <w:bCs/>
                <w:color w:val="auto"/>
                <w:szCs w:val="21"/>
              </w:rPr>
            </w:pPr>
          </w:p>
        </w:tc>
        <w:tc>
          <w:tcPr>
            <w:tcW w:w="581" w:type="pct"/>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widowControl/>
              <w:spacing w:line="360" w:lineRule="auto"/>
              <w:jc w:val="left"/>
              <w:textAlignment w:val="center"/>
              <w:rPr>
                <w:rFonts w:ascii="Times New Roman" w:hAnsi="Times New Roman" w:eastAsia="宋体" w:cs="宋体"/>
                <w:color w:val="auto"/>
                <w:szCs w:val="21"/>
              </w:rPr>
            </w:pPr>
          </w:p>
        </w:tc>
        <w:tc>
          <w:tcPr>
            <w:tcW w:w="568" w:type="pct"/>
            <w:tcBorders>
              <w:top w:val="single" w:color="000000" w:sz="4" w:space="0"/>
              <w:left w:val="single" w:color="auto" w:sz="4" w:space="0"/>
              <w:bottom w:val="single" w:color="000000" w:sz="4" w:space="0"/>
              <w:right w:val="single" w:color="000000" w:sz="4" w:space="0"/>
            </w:tcBorders>
            <w:vAlign w:val="center"/>
          </w:tcPr>
          <w:p>
            <w:pPr>
              <w:widowControl/>
              <w:spacing w:line="360" w:lineRule="auto"/>
              <w:jc w:val="left"/>
              <w:textAlignment w:val="center"/>
              <w:rPr>
                <w:rFonts w:ascii="Times New Roman" w:hAnsi="Times New Roman" w:eastAsia="宋体" w:cs="宋体"/>
                <w:color w:val="auto"/>
                <w:szCs w:val="21"/>
              </w:rPr>
            </w:pPr>
          </w:p>
        </w:tc>
        <w:tc>
          <w:tcPr>
            <w:tcW w:w="581" w:type="pct"/>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spacing w:line="360" w:lineRule="auto"/>
              <w:jc w:val="left"/>
              <w:rPr>
                <w:rFonts w:ascii="Times New Roman" w:hAnsi="Times New Roman" w:eastAsia="宋体" w:cs="宋体"/>
                <w:color w:val="auto"/>
                <w:szCs w:val="21"/>
              </w:rPr>
            </w:pPr>
          </w:p>
        </w:tc>
        <w:tc>
          <w:tcPr>
            <w:tcW w:w="568" w:type="pct"/>
            <w:tcBorders>
              <w:top w:val="single" w:color="000000" w:sz="4" w:space="0"/>
              <w:left w:val="single" w:color="auto" w:sz="4" w:space="0"/>
              <w:bottom w:val="single" w:color="000000" w:sz="4" w:space="0"/>
              <w:right w:val="single" w:color="000000" w:sz="4" w:space="0"/>
            </w:tcBorders>
            <w:vAlign w:val="center"/>
          </w:tcPr>
          <w:p>
            <w:pPr>
              <w:spacing w:line="360" w:lineRule="auto"/>
              <w:jc w:val="left"/>
              <w:rPr>
                <w:rFonts w:ascii="Times New Roman" w:hAnsi="Times New Roman" w:eastAsia="宋体" w:cs="宋体"/>
                <w:color w:val="auto"/>
                <w:szCs w:val="21"/>
              </w:rPr>
            </w:pPr>
          </w:p>
        </w:tc>
        <w:tc>
          <w:tcPr>
            <w:tcW w:w="848" w:type="pct"/>
            <w:tcBorders>
              <w:top w:val="single" w:color="000000" w:sz="4" w:space="0"/>
              <w:left w:val="single" w:color="000000" w:sz="4" w:space="0"/>
              <w:bottom w:val="single" w:color="000000" w:sz="4" w:space="0"/>
              <w:right w:val="single" w:color="000000" w:sz="4" w:space="0"/>
            </w:tcBorders>
          </w:tcPr>
          <w:p>
            <w:pPr>
              <w:spacing w:line="360" w:lineRule="auto"/>
              <w:jc w:val="left"/>
              <w:rPr>
                <w:rFonts w:ascii="Times New Roman" w:hAnsi="Times New Roman" w:eastAsia="宋体" w:cs="宋体"/>
                <w:color w:val="auto"/>
                <w:szCs w:val="21"/>
              </w:rPr>
            </w:pPr>
          </w:p>
        </w:tc>
        <w:tc>
          <w:tcPr>
            <w:tcW w:w="58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left"/>
              <w:rPr>
                <w:rFonts w:ascii="Times New Roman" w:hAnsi="Times New Roman" w:eastAsia="宋体" w:cs="宋体"/>
                <w:color w:val="auto"/>
                <w:szCs w:val="21"/>
              </w:rPr>
            </w:pPr>
          </w:p>
        </w:tc>
        <w:tc>
          <w:tcPr>
            <w:tcW w:w="68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left"/>
              <w:rPr>
                <w:rFonts w:ascii="Times New Roman" w:hAnsi="Times New Roman" w:eastAsia="宋体" w:cs="宋体"/>
                <w:color w:val="auto"/>
                <w:szCs w:val="21"/>
              </w:rPr>
            </w:pPr>
          </w:p>
        </w:tc>
      </w:tr>
      <w:tr>
        <w:tblPrEx>
          <w:tblCellMar>
            <w:top w:w="0" w:type="dxa"/>
            <w:left w:w="0" w:type="dxa"/>
            <w:bottom w:w="0" w:type="dxa"/>
            <w:right w:w="0" w:type="dxa"/>
          </w:tblCellMar>
        </w:tblPrEx>
        <w:trPr>
          <w:trHeight w:val="432" w:hRule="atLeast"/>
        </w:trPr>
        <w:tc>
          <w:tcPr>
            <w:tcW w:w="58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rFonts w:ascii="Times New Roman" w:hAnsi="Times New Roman" w:eastAsia="宋体" w:cs="宋体"/>
                <w:bCs/>
                <w:color w:val="auto"/>
                <w:szCs w:val="21"/>
              </w:rPr>
            </w:pPr>
          </w:p>
        </w:tc>
        <w:tc>
          <w:tcPr>
            <w:tcW w:w="581" w:type="pct"/>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widowControl/>
              <w:spacing w:line="360" w:lineRule="auto"/>
              <w:jc w:val="left"/>
              <w:textAlignment w:val="center"/>
              <w:rPr>
                <w:rFonts w:ascii="Times New Roman" w:hAnsi="Times New Roman" w:eastAsia="宋体" w:cs="宋体"/>
                <w:color w:val="auto"/>
                <w:szCs w:val="21"/>
              </w:rPr>
            </w:pPr>
          </w:p>
        </w:tc>
        <w:tc>
          <w:tcPr>
            <w:tcW w:w="568" w:type="pct"/>
            <w:tcBorders>
              <w:top w:val="single" w:color="000000" w:sz="4" w:space="0"/>
              <w:left w:val="single" w:color="auto" w:sz="4" w:space="0"/>
              <w:bottom w:val="single" w:color="000000" w:sz="4" w:space="0"/>
              <w:right w:val="single" w:color="000000" w:sz="4" w:space="0"/>
            </w:tcBorders>
            <w:vAlign w:val="center"/>
          </w:tcPr>
          <w:p>
            <w:pPr>
              <w:widowControl/>
              <w:spacing w:line="360" w:lineRule="auto"/>
              <w:jc w:val="left"/>
              <w:textAlignment w:val="center"/>
              <w:rPr>
                <w:rFonts w:ascii="Times New Roman" w:hAnsi="Times New Roman" w:eastAsia="宋体" w:cs="宋体"/>
                <w:color w:val="auto"/>
                <w:szCs w:val="21"/>
              </w:rPr>
            </w:pPr>
          </w:p>
        </w:tc>
        <w:tc>
          <w:tcPr>
            <w:tcW w:w="581" w:type="pct"/>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spacing w:line="360" w:lineRule="auto"/>
              <w:jc w:val="left"/>
              <w:rPr>
                <w:rFonts w:ascii="Times New Roman" w:hAnsi="Times New Roman" w:eastAsia="宋体" w:cs="宋体"/>
                <w:color w:val="auto"/>
                <w:szCs w:val="21"/>
              </w:rPr>
            </w:pPr>
          </w:p>
        </w:tc>
        <w:tc>
          <w:tcPr>
            <w:tcW w:w="568" w:type="pct"/>
            <w:tcBorders>
              <w:top w:val="single" w:color="000000" w:sz="4" w:space="0"/>
              <w:left w:val="single" w:color="auto" w:sz="4" w:space="0"/>
              <w:bottom w:val="single" w:color="000000" w:sz="4" w:space="0"/>
              <w:right w:val="single" w:color="000000" w:sz="4" w:space="0"/>
            </w:tcBorders>
            <w:vAlign w:val="center"/>
          </w:tcPr>
          <w:p>
            <w:pPr>
              <w:spacing w:line="360" w:lineRule="auto"/>
              <w:jc w:val="left"/>
              <w:rPr>
                <w:rFonts w:ascii="Times New Roman" w:hAnsi="Times New Roman" w:eastAsia="宋体" w:cs="宋体"/>
                <w:color w:val="auto"/>
                <w:szCs w:val="21"/>
              </w:rPr>
            </w:pPr>
          </w:p>
        </w:tc>
        <w:tc>
          <w:tcPr>
            <w:tcW w:w="848" w:type="pct"/>
            <w:tcBorders>
              <w:top w:val="single" w:color="000000" w:sz="4" w:space="0"/>
              <w:left w:val="single" w:color="000000" w:sz="4" w:space="0"/>
              <w:bottom w:val="single" w:color="000000" w:sz="4" w:space="0"/>
              <w:right w:val="single" w:color="000000" w:sz="4" w:space="0"/>
            </w:tcBorders>
          </w:tcPr>
          <w:p>
            <w:pPr>
              <w:spacing w:line="360" w:lineRule="auto"/>
              <w:jc w:val="left"/>
              <w:rPr>
                <w:rFonts w:ascii="Times New Roman" w:hAnsi="Times New Roman" w:eastAsia="宋体" w:cs="宋体"/>
                <w:color w:val="auto"/>
                <w:szCs w:val="21"/>
              </w:rPr>
            </w:pPr>
          </w:p>
        </w:tc>
        <w:tc>
          <w:tcPr>
            <w:tcW w:w="58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left"/>
              <w:rPr>
                <w:rFonts w:ascii="Times New Roman" w:hAnsi="Times New Roman" w:eastAsia="宋体" w:cs="宋体"/>
                <w:color w:val="auto"/>
                <w:szCs w:val="21"/>
              </w:rPr>
            </w:pPr>
          </w:p>
        </w:tc>
        <w:tc>
          <w:tcPr>
            <w:tcW w:w="68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left"/>
              <w:rPr>
                <w:rFonts w:ascii="Times New Roman" w:hAnsi="Times New Roman" w:eastAsia="宋体" w:cs="宋体"/>
                <w:color w:val="auto"/>
                <w:szCs w:val="21"/>
              </w:rPr>
            </w:pPr>
          </w:p>
        </w:tc>
      </w:tr>
      <w:tr>
        <w:tblPrEx>
          <w:tblCellMar>
            <w:top w:w="0" w:type="dxa"/>
            <w:left w:w="0" w:type="dxa"/>
            <w:bottom w:w="0" w:type="dxa"/>
            <w:right w:w="0" w:type="dxa"/>
          </w:tblCellMar>
        </w:tblPrEx>
        <w:trPr>
          <w:trHeight w:val="432" w:hRule="atLeast"/>
        </w:trPr>
        <w:tc>
          <w:tcPr>
            <w:tcW w:w="58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360" w:lineRule="auto"/>
              <w:jc w:val="center"/>
              <w:textAlignment w:val="center"/>
              <w:rPr>
                <w:rFonts w:ascii="Times New Roman" w:hAnsi="Times New Roman" w:eastAsia="宋体" w:cs="宋体"/>
                <w:bCs/>
                <w:color w:val="auto"/>
                <w:szCs w:val="21"/>
              </w:rPr>
            </w:pPr>
          </w:p>
        </w:tc>
        <w:tc>
          <w:tcPr>
            <w:tcW w:w="581" w:type="pct"/>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widowControl/>
              <w:spacing w:line="360" w:lineRule="auto"/>
              <w:jc w:val="left"/>
              <w:textAlignment w:val="center"/>
              <w:rPr>
                <w:rFonts w:ascii="Times New Roman" w:hAnsi="Times New Roman" w:eastAsia="宋体" w:cs="宋体"/>
                <w:color w:val="auto"/>
                <w:szCs w:val="21"/>
              </w:rPr>
            </w:pPr>
          </w:p>
        </w:tc>
        <w:tc>
          <w:tcPr>
            <w:tcW w:w="568" w:type="pct"/>
            <w:tcBorders>
              <w:top w:val="single" w:color="000000" w:sz="4" w:space="0"/>
              <w:left w:val="single" w:color="auto" w:sz="4" w:space="0"/>
              <w:bottom w:val="single" w:color="000000" w:sz="4" w:space="0"/>
              <w:right w:val="single" w:color="000000" w:sz="4" w:space="0"/>
            </w:tcBorders>
            <w:vAlign w:val="center"/>
          </w:tcPr>
          <w:p>
            <w:pPr>
              <w:widowControl/>
              <w:spacing w:line="360" w:lineRule="auto"/>
              <w:jc w:val="left"/>
              <w:textAlignment w:val="center"/>
              <w:rPr>
                <w:rFonts w:ascii="Times New Roman" w:hAnsi="Times New Roman" w:eastAsia="宋体" w:cs="宋体"/>
                <w:color w:val="auto"/>
                <w:szCs w:val="21"/>
              </w:rPr>
            </w:pPr>
          </w:p>
        </w:tc>
        <w:tc>
          <w:tcPr>
            <w:tcW w:w="581" w:type="pct"/>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spacing w:line="360" w:lineRule="auto"/>
              <w:jc w:val="left"/>
              <w:rPr>
                <w:rFonts w:ascii="Times New Roman" w:hAnsi="Times New Roman" w:eastAsia="宋体" w:cs="宋体"/>
                <w:color w:val="auto"/>
                <w:szCs w:val="21"/>
              </w:rPr>
            </w:pPr>
          </w:p>
        </w:tc>
        <w:tc>
          <w:tcPr>
            <w:tcW w:w="568" w:type="pct"/>
            <w:tcBorders>
              <w:top w:val="single" w:color="000000" w:sz="4" w:space="0"/>
              <w:left w:val="single" w:color="auto" w:sz="4" w:space="0"/>
              <w:bottom w:val="single" w:color="000000" w:sz="4" w:space="0"/>
              <w:right w:val="single" w:color="000000" w:sz="4" w:space="0"/>
            </w:tcBorders>
            <w:vAlign w:val="center"/>
          </w:tcPr>
          <w:p>
            <w:pPr>
              <w:spacing w:line="360" w:lineRule="auto"/>
              <w:jc w:val="left"/>
              <w:rPr>
                <w:rFonts w:ascii="Times New Roman" w:hAnsi="Times New Roman" w:eastAsia="宋体" w:cs="宋体"/>
                <w:color w:val="auto"/>
                <w:szCs w:val="21"/>
              </w:rPr>
            </w:pPr>
          </w:p>
        </w:tc>
        <w:tc>
          <w:tcPr>
            <w:tcW w:w="848" w:type="pct"/>
            <w:tcBorders>
              <w:top w:val="single" w:color="000000" w:sz="4" w:space="0"/>
              <w:left w:val="single" w:color="000000" w:sz="4" w:space="0"/>
              <w:bottom w:val="single" w:color="000000" w:sz="4" w:space="0"/>
              <w:right w:val="single" w:color="000000" w:sz="4" w:space="0"/>
            </w:tcBorders>
          </w:tcPr>
          <w:p>
            <w:pPr>
              <w:spacing w:line="360" w:lineRule="auto"/>
              <w:jc w:val="left"/>
              <w:rPr>
                <w:rFonts w:ascii="Times New Roman" w:hAnsi="Times New Roman" w:eastAsia="宋体" w:cs="宋体"/>
                <w:color w:val="auto"/>
                <w:szCs w:val="21"/>
              </w:rPr>
            </w:pPr>
          </w:p>
        </w:tc>
        <w:tc>
          <w:tcPr>
            <w:tcW w:w="58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left"/>
              <w:rPr>
                <w:rFonts w:ascii="Times New Roman" w:hAnsi="Times New Roman" w:eastAsia="宋体" w:cs="宋体"/>
                <w:color w:val="auto"/>
                <w:szCs w:val="21"/>
              </w:rPr>
            </w:pPr>
          </w:p>
        </w:tc>
        <w:tc>
          <w:tcPr>
            <w:tcW w:w="68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60" w:lineRule="auto"/>
              <w:jc w:val="left"/>
              <w:rPr>
                <w:rFonts w:ascii="Times New Roman" w:hAnsi="Times New Roman" w:eastAsia="宋体" w:cs="宋体"/>
                <w:color w:val="auto"/>
                <w:szCs w:val="21"/>
              </w:rPr>
            </w:pPr>
          </w:p>
        </w:tc>
      </w:tr>
    </w:tbl>
    <w:p>
      <w:pPr>
        <w:spacing w:line="360" w:lineRule="auto"/>
        <w:jc w:val="left"/>
        <w:rPr>
          <w:rFonts w:ascii="Times New Roman" w:hAnsi="Times New Roman" w:eastAsia="宋体" w:cs="宋体"/>
          <w:i/>
          <w:color w:val="auto"/>
          <w:szCs w:val="21"/>
        </w:rPr>
      </w:pPr>
      <w:r>
        <w:rPr>
          <w:rFonts w:hint="eastAsia" w:ascii="Times New Roman" w:hAnsi="Times New Roman" w:eastAsia="宋体" w:cs="宋体"/>
          <w:i/>
          <w:color w:val="auto"/>
          <w:szCs w:val="21"/>
        </w:rPr>
        <w:t>提供其它同类项目历史成交记录（不少于2项）</w:t>
      </w:r>
    </w:p>
    <w:p>
      <w:pPr>
        <w:rPr>
          <w:rFonts w:ascii="Times New Roman" w:hAnsi="Times New Roman" w:eastAsia="宋体"/>
          <w:color w:val="auto"/>
        </w:rPr>
      </w:pPr>
      <w:bookmarkStart w:id="32" w:name="_Toc116987916"/>
      <w:bookmarkStart w:id="33" w:name="_Toc116988040"/>
    </w:p>
    <w:p>
      <w:pPr>
        <w:rPr>
          <w:rFonts w:ascii="Times New Roman" w:hAnsi="Times New Roman" w:eastAsia="宋体"/>
          <w:color w:val="auto"/>
        </w:rPr>
      </w:pPr>
    </w:p>
    <w:p>
      <w:pPr>
        <w:spacing w:line="360" w:lineRule="auto"/>
        <w:jc w:val="left"/>
        <w:outlineLvl w:val="2"/>
        <w:rPr>
          <w:rFonts w:ascii="Times New Roman" w:hAnsi="Times New Roman" w:eastAsia="宋体" w:cs="宋体"/>
          <w:b/>
          <w:bCs/>
          <w:color w:val="auto"/>
          <w:szCs w:val="21"/>
        </w:rPr>
      </w:pPr>
      <w:r>
        <w:rPr>
          <w:rFonts w:hint="eastAsia" w:ascii="Times New Roman" w:hAnsi="Times New Roman" w:eastAsia="宋体" w:cs="宋体"/>
          <w:b/>
          <w:bCs/>
          <w:color w:val="auto"/>
          <w:szCs w:val="21"/>
        </w:rPr>
        <w:t>七、其他建议</w:t>
      </w:r>
      <w:bookmarkEnd w:id="32"/>
      <w:bookmarkEnd w:id="33"/>
    </w:p>
    <w:p>
      <w:pPr>
        <w:spacing w:line="360" w:lineRule="auto"/>
        <w:jc w:val="left"/>
        <w:rPr>
          <w:rFonts w:ascii="Times New Roman" w:hAnsi="Times New Roman" w:eastAsia="宋体" w:cs="宋体"/>
          <w:b/>
          <w:bCs/>
          <w:color w:val="auto"/>
          <w:szCs w:val="21"/>
        </w:rPr>
      </w:pPr>
      <w:r>
        <w:rPr>
          <w:rFonts w:hint="eastAsia" w:ascii="Times New Roman" w:hAnsi="Times New Roman" w:eastAsia="宋体" w:cs="宋体"/>
          <w:i/>
          <w:color w:val="auto"/>
          <w:szCs w:val="21"/>
        </w:rPr>
        <w:t>1.供应商如对采购需求其他建议</w:t>
      </w:r>
    </w:p>
    <w:p>
      <w:pPr>
        <w:spacing w:line="360" w:lineRule="auto"/>
        <w:jc w:val="left"/>
        <w:rPr>
          <w:rFonts w:ascii="Times New Roman" w:hAnsi="Times New Roman" w:eastAsia="宋体" w:cs="宋体"/>
          <w:i/>
          <w:color w:val="auto"/>
          <w:szCs w:val="21"/>
        </w:rPr>
      </w:pPr>
      <w:r>
        <w:rPr>
          <w:rFonts w:hint="eastAsia" w:ascii="Times New Roman" w:hAnsi="Times New Roman" w:eastAsia="宋体" w:cs="宋体"/>
          <w:i/>
          <w:color w:val="auto"/>
          <w:szCs w:val="21"/>
        </w:rPr>
        <w:t>2.……</w:t>
      </w:r>
    </w:p>
    <w:p>
      <w:pPr>
        <w:spacing w:line="360" w:lineRule="auto"/>
        <w:ind w:right="960" w:firstLine="4216" w:firstLineChars="2000"/>
        <w:rPr>
          <w:rFonts w:ascii="Times New Roman" w:hAnsi="Times New Roman" w:eastAsia="宋体" w:cs="宋体"/>
          <w:b/>
          <w:bCs/>
          <w:color w:val="auto"/>
          <w:szCs w:val="21"/>
        </w:rPr>
      </w:pPr>
    </w:p>
    <w:p>
      <w:pPr>
        <w:spacing w:line="360" w:lineRule="auto"/>
        <w:ind w:right="960" w:firstLine="4216" w:firstLineChars="2000"/>
        <w:rPr>
          <w:rFonts w:ascii="Times New Roman" w:hAnsi="Times New Roman" w:eastAsia="宋体" w:cs="宋体"/>
          <w:b/>
          <w:bCs/>
          <w:color w:val="auto"/>
          <w:szCs w:val="21"/>
        </w:rPr>
      </w:pPr>
    </w:p>
    <w:p>
      <w:pPr>
        <w:pStyle w:val="10"/>
        <w:rPr>
          <w:rFonts w:ascii="Times New Roman" w:hAnsi="Times New Roman" w:eastAsia="宋体" w:cs="宋体"/>
          <w:b/>
          <w:bCs/>
          <w:color w:val="auto"/>
          <w:szCs w:val="21"/>
        </w:rPr>
      </w:pPr>
    </w:p>
    <w:p>
      <w:pPr>
        <w:pStyle w:val="10"/>
        <w:rPr>
          <w:rFonts w:ascii="Times New Roman" w:hAnsi="Times New Roman" w:eastAsia="宋体" w:cs="宋体"/>
          <w:b/>
          <w:bCs/>
          <w:color w:val="auto"/>
          <w:szCs w:val="21"/>
        </w:rPr>
      </w:pPr>
    </w:p>
    <w:p>
      <w:pPr>
        <w:spacing w:line="360" w:lineRule="auto"/>
        <w:ind w:right="960" w:firstLine="4216" w:firstLineChars="2000"/>
        <w:rPr>
          <w:rFonts w:ascii="Times New Roman" w:hAnsi="Times New Roman" w:eastAsia="宋体" w:cs="宋体"/>
          <w:b/>
          <w:bCs/>
          <w:color w:val="auto"/>
          <w:szCs w:val="21"/>
        </w:rPr>
      </w:pPr>
      <w:r>
        <w:rPr>
          <w:rFonts w:hint="eastAsia" w:ascii="Times New Roman" w:hAnsi="Times New Roman" w:eastAsia="宋体" w:cs="宋体"/>
          <w:b/>
          <w:bCs/>
          <w:color w:val="auto"/>
          <w:szCs w:val="21"/>
        </w:rPr>
        <w:t>公司名称（盖章）</w:t>
      </w:r>
    </w:p>
    <w:p>
      <w:pPr>
        <w:spacing w:line="360" w:lineRule="auto"/>
        <w:ind w:firstLine="4216" w:firstLineChars="2000"/>
        <w:jc w:val="left"/>
        <w:rPr>
          <w:rFonts w:ascii="Times New Roman" w:hAnsi="Times New Roman" w:eastAsia="宋体" w:cs="宋体"/>
          <w:b/>
          <w:bCs/>
          <w:color w:val="auto"/>
          <w:szCs w:val="21"/>
        </w:rPr>
      </w:pPr>
      <w:r>
        <w:rPr>
          <w:rFonts w:hint="eastAsia" w:ascii="Times New Roman" w:hAnsi="Times New Roman" w:eastAsia="宋体" w:cs="宋体"/>
          <w:b/>
          <w:bCs/>
          <w:color w:val="auto"/>
          <w:szCs w:val="21"/>
        </w:rPr>
        <w:t>联系人：</w:t>
      </w:r>
    </w:p>
    <w:p>
      <w:pPr>
        <w:spacing w:line="360" w:lineRule="auto"/>
        <w:ind w:firstLine="4216" w:firstLineChars="2000"/>
        <w:jc w:val="left"/>
        <w:rPr>
          <w:rFonts w:ascii="Times New Roman" w:hAnsi="Times New Roman" w:eastAsia="宋体" w:cs="宋体"/>
          <w:b/>
          <w:bCs/>
          <w:color w:val="auto"/>
          <w:szCs w:val="21"/>
        </w:rPr>
      </w:pPr>
      <w:r>
        <w:rPr>
          <w:rFonts w:hint="eastAsia" w:ascii="Times New Roman" w:hAnsi="Times New Roman" w:eastAsia="宋体" w:cs="宋体"/>
          <w:b/>
          <w:bCs/>
          <w:color w:val="auto"/>
          <w:szCs w:val="21"/>
        </w:rPr>
        <w:t>联系电话：</w:t>
      </w:r>
    </w:p>
    <w:p>
      <w:pPr>
        <w:spacing w:line="360" w:lineRule="auto"/>
        <w:ind w:firstLine="5157" w:firstLineChars="2446"/>
        <w:jc w:val="left"/>
        <w:rPr>
          <w:rFonts w:hint="eastAsia" w:cs="仿宋_GB2312" w:asciiTheme="minorEastAsia" w:hAnsiTheme="minorEastAsia"/>
          <w:b/>
          <w:bCs/>
          <w:color w:val="auto"/>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46964289"/>
    </w:sdtPr>
    <w:sdtContent>
      <w:p>
        <w:pPr>
          <w:pStyle w:val="17"/>
          <w:jc w:val="center"/>
        </w:pPr>
        <w:r>
          <w:t>第</w:t>
        </w:r>
        <w:r>
          <w:fldChar w:fldCharType="begin"/>
        </w:r>
        <w:r>
          <w:instrText xml:space="preserve">PAGE   \* MERGEFORMAT</w:instrText>
        </w:r>
        <w:r>
          <w:fldChar w:fldCharType="separate"/>
        </w:r>
        <w:r>
          <w:rPr>
            <w:lang w:val="zh-CN"/>
          </w:rPr>
          <w:t>37</w:t>
        </w:r>
        <w:r>
          <w:fldChar w:fldCharType="end"/>
        </w:r>
        <w:r>
          <w:t>页</w:t>
        </w:r>
      </w:p>
    </w:sdtContent>
  </w:sdt>
  <w:p>
    <w:pPr>
      <w:pStyle w:val="1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1F3E51"/>
    <w:multiLevelType w:val="singleLevel"/>
    <w:tmpl w:val="961F3E51"/>
    <w:lvl w:ilvl="0" w:tentative="0">
      <w:start w:val="3"/>
      <w:numFmt w:val="chineseCounting"/>
      <w:suff w:val="space"/>
      <w:lvlText w:val="第%1章"/>
      <w:lvlJc w:val="left"/>
      <w:rPr>
        <w:rFonts w:hint="eastAsia"/>
      </w:rPr>
    </w:lvl>
  </w:abstractNum>
  <w:abstractNum w:abstractNumId="1">
    <w:nsid w:val="FC2C8C02"/>
    <w:multiLevelType w:val="singleLevel"/>
    <w:tmpl w:val="FC2C8C02"/>
    <w:lvl w:ilvl="0" w:tentative="0">
      <w:start w:val="1"/>
      <w:numFmt w:val="chineseCounting"/>
      <w:suff w:val="nothing"/>
      <w:lvlText w:val="%1、"/>
      <w:lvlJc w:val="left"/>
      <w:pPr>
        <w:ind w:left="0" w:firstLine="420"/>
      </w:pPr>
      <w:rPr>
        <w:rFonts w:hint="eastAsia"/>
      </w:rPr>
    </w:lvl>
  </w:abstractNum>
  <w:abstractNum w:abstractNumId="2">
    <w:nsid w:val="010E34C1"/>
    <w:multiLevelType w:val="multilevel"/>
    <w:tmpl w:val="010E34C1"/>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chineseCountingThousand"/>
      <w:suff w:val="nothing"/>
      <w:lvlText w:val="（%3）"/>
      <w:lvlJc w:val="left"/>
      <w:pPr>
        <w:ind w:left="420" w:hanging="420"/>
      </w:pPr>
      <w:rPr>
        <w:rFonts w:hint="eastAsia"/>
        <w:b/>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0901220"/>
    <w:multiLevelType w:val="multilevel"/>
    <w:tmpl w:val="40901220"/>
    <w:lvl w:ilvl="0" w:tentative="0">
      <w:start w:val="1"/>
      <w:numFmt w:val="decimal"/>
      <w:lvlText w:val="%1."/>
      <w:lvlJc w:val="left"/>
      <w:pPr>
        <w:ind w:left="420" w:hanging="420"/>
      </w:pPr>
      <w:rPr>
        <w:rFonts w:hint="default"/>
        <w:lang w:val="en-US"/>
      </w:rPr>
    </w:lvl>
    <w:lvl w:ilvl="1" w:tentative="0">
      <w:start w:val="1"/>
      <w:numFmt w:val="lowerLetter"/>
      <w:lvlText w:val="%2)"/>
      <w:lvlJc w:val="left"/>
      <w:pPr>
        <w:ind w:left="840" w:hanging="420"/>
      </w:pPr>
    </w:lvl>
    <w:lvl w:ilvl="2" w:tentative="0">
      <w:start w:val="1"/>
      <w:numFmt w:val="chineseCountingThousand"/>
      <w:suff w:val="nothing"/>
      <w:lvlText w:val="（%3）"/>
      <w:lvlJc w:val="left"/>
      <w:pPr>
        <w:ind w:left="420" w:hanging="420"/>
      </w:pPr>
      <w:rPr>
        <w:rFonts w:hint="eastAsia"/>
        <w:b/>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61C2834"/>
    <w:multiLevelType w:val="multilevel"/>
    <w:tmpl w:val="561C2834"/>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384FB78"/>
    <w:multiLevelType w:val="singleLevel"/>
    <w:tmpl w:val="7384FB78"/>
    <w:lvl w:ilvl="0" w:tentative="0">
      <w:start w:val="1"/>
      <w:numFmt w:val="decimal"/>
      <w:lvlText w:val="%1."/>
      <w:lvlJc w:val="left"/>
      <w:pPr>
        <w:ind w:left="425" w:hanging="425"/>
      </w:pPr>
      <w:rPr>
        <w:rFonts w:hint="default"/>
      </w:rPr>
    </w:lvl>
  </w:abstractNum>
  <w:num w:numId="1">
    <w:abstractNumId w:val="4"/>
  </w:num>
  <w:num w:numId="2">
    <w:abstractNumId w:val="1"/>
  </w:num>
  <w:num w:numId="3">
    <w:abstractNumId w:val="2"/>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240.65:8888/seeyon/officeservlet"/>
  </w:docVars>
  <w:rsids>
    <w:rsidRoot w:val="00172A27"/>
    <w:rsid w:val="0001185C"/>
    <w:rsid w:val="000379D4"/>
    <w:rsid w:val="0004300C"/>
    <w:rsid w:val="00043C3E"/>
    <w:rsid w:val="000607C0"/>
    <w:rsid w:val="0007684C"/>
    <w:rsid w:val="0009278E"/>
    <w:rsid w:val="00093035"/>
    <w:rsid w:val="00100DEB"/>
    <w:rsid w:val="00115816"/>
    <w:rsid w:val="00115F16"/>
    <w:rsid w:val="00123250"/>
    <w:rsid w:val="00125757"/>
    <w:rsid w:val="0013433A"/>
    <w:rsid w:val="00152812"/>
    <w:rsid w:val="0016683D"/>
    <w:rsid w:val="00181CEC"/>
    <w:rsid w:val="00195017"/>
    <w:rsid w:val="001B3C59"/>
    <w:rsid w:val="001B6E67"/>
    <w:rsid w:val="001C4184"/>
    <w:rsid w:val="001C571E"/>
    <w:rsid w:val="00200ACA"/>
    <w:rsid w:val="002226F8"/>
    <w:rsid w:val="002310F2"/>
    <w:rsid w:val="0023358C"/>
    <w:rsid w:val="00245CB1"/>
    <w:rsid w:val="00261B84"/>
    <w:rsid w:val="0027199C"/>
    <w:rsid w:val="002C0761"/>
    <w:rsid w:val="002C2E9E"/>
    <w:rsid w:val="002C3D15"/>
    <w:rsid w:val="002C45AD"/>
    <w:rsid w:val="002C6396"/>
    <w:rsid w:val="002D2DEF"/>
    <w:rsid w:val="002D398B"/>
    <w:rsid w:val="002F6E7E"/>
    <w:rsid w:val="0030766C"/>
    <w:rsid w:val="00313F13"/>
    <w:rsid w:val="00325DF2"/>
    <w:rsid w:val="003378E8"/>
    <w:rsid w:val="00340612"/>
    <w:rsid w:val="00345007"/>
    <w:rsid w:val="00346A05"/>
    <w:rsid w:val="003502AA"/>
    <w:rsid w:val="00356F91"/>
    <w:rsid w:val="003803F0"/>
    <w:rsid w:val="003A7D33"/>
    <w:rsid w:val="003B2C45"/>
    <w:rsid w:val="003B592A"/>
    <w:rsid w:val="003C0DDC"/>
    <w:rsid w:val="003C7501"/>
    <w:rsid w:val="003E1166"/>
    <w:rsid w:val="003E58C1"/>
    <w:rsid w:val="004115AC"/>
    <w:rsid w:val="00411BF6"/>
    <w:rsid w:val="004210DA"/>
    <w:rsid w:val="0046681B"/>
    <w:rsid w:val="00473D31"/>
    <w:rsid w:val="00475C74"/>
    <w:rsid w:val="004B38FC"/>
    <w:rsid w:val="004D58E0"/>
    <w:rsid w:val="004D5DBC"/>
    <w:rsid w:val="004F071C"/>
    <w:rsid w:val="004F3723"/>
    <w:rsid w:val="004F563F"/>
    <w:rsid w:val="005174E4"/>
    <w:rsid w:val="00517F0D"/>
    <w:rsid w:val="0052198A"/>
    <w:rsid w:val="005261D4"/>
    <w:rsid w:val="00527D97"/>
    <w:rsid w:val="00534F49"/>
    <w:rsid w:val="00541862"/>
    <w:rsid w:val="00576D8C"/>
    <w:rsid w:val="00590467"/>
    <w:rsid w:val="00591152"/>
    <w:rsid w:val="005932D1"/>
    <w:rsid w:val="005D3D28"/>
    <w:rsid w:val="005D6E12"/>
    <w:rsid w:val="006037B3"/>
    <w:rsid w:val="00613D28"/>
    <w:rsid w:val="00622396"/>
    <w:rsid w:val="00636646"/>
    <w:rsid w:val="0063756A"/>
    <w:rsid w:val="0066080A"/>
    <w:rsid w:val="006639CA"/>
    <w:rsid w:val="00677656"/>
    <w:rsid w:val="00682DCC"/>
    <w:rsid w:val="00690F44"/>
    <w:rsid w:val="00697DB8"/>
    <w:rsid w:val="006A040F"/>
    <w:rsid w:val="006A188C"/>
    <w:rsid w:val="006C5F07"/>
    <w:rsid w:val="006D32A1"/>
    <w:rsid w:val="006D54C6"/>
    <w:rsid w:val="006E2A8E"/>
    <w:rsid w:val="00722474"/>
    <w:rsid w:val="007317DE"/>
    <w:rsid w:val="007562C2"/>
    <w:rsid w:val="0075743D"/>
    <w:rsid w:val="007576C9"/>
    <w:rsid w:val="00787BD0"/>
    <w:rsid w:val="0079281A"/>
    <w:rsid w:val="007B3169"/>
    <w:rsid w:val="007D5919"/>
    <w:rsid w:val="007D66F8"/>
    <w:rsid w:val="00816822"/>
    <w:rsid w:val="0082045F"/>
    <w:rsid w:val="00833726"/>
    <w:rsid w:val="0083788A"/>
    <w:rsid w:val="00861616"/>
    <w:rsid w:val="00880F24"/>
    <w:rsid w:val="00882F2A"/>
    <w:rsid w:val="008968A8"/>
    <w:rsid w:val="008A5517"/>
    <w:rsid w:val="008C0F69"/>
    <w:rsid w:val="008D2CD3"/>
    <w:rsid w:val="008E2E9D"/>
    <w:rsid w:val="008E34B6"/>
    <w:rsid w:val="008F511D"/>
    <w:rsid w:val="00910420"/>
    <w:rsid w:val="009519AD"/>
    <w:rsid w:val="009849D8"/>
    <w:rsid w:val="00996655"/>
    <w:rsid w:val="009B38EE"/>
    <w:rsid w:val="009B4C5F"/>
    <w:rsid w:val="009B583C"/>
    <w:rsid w:val="009D67EB"/>
    <w:rsid w:val="009F4626"/>
    <w:rsid w:val="009F7BB7"/>
    <w:rsid w:val="00A010DA"/>
    <w:rsid w:val="00A230E7"/>
    <w:rsid w:val="00A240B3"/>
    <w:rsid w:val="00A24768"/>
    <w:rsid w:val="00A35ED0"/>
    <w:rsid w:val="00A45194"/>
    <w:rsid w:val="00A650C6"/>
    <w:rsid w:val="00A73F00"/>
    <w:rsid w:val="00A85FF9"/>
    <w:rsid w:val="00A977BD"/>
    <w:rsid w:val="00AD1A5D"/>
    <w:rsid w:val="00AD7D0B"/>
    <w:rsid w:val="00AE443F"/>
    <w:rsid w:val="00AE5A1F"/>
    <w:rsid w:val="00B016A1"/>
    <w:rsid w:val="00B32B33"/>
    <w:rsid w:val="00B35234"/>
    <w:rsid w:val="00B353B0"/>
    <w:rsid w:val="00B52DAC"/>
    <w:rsid w:val="00B53001"/>
    <w:rsid w:val="00B6259E"/>
    <w:rsid w:val="00B67310"/>
    <w:rsid w:val="00B71F2F"/>
    <w:rsid w:val="00B87C9B"/>
    <w:rsid w:val="00B913FA"/>
    <w:rsid w:val="00B918D4"/>
    <w:rsid w:val="00BA39FE"/>
    <w:rsid w:val="00BC0EEF"/>
    <w:rsid w:val="00BC2797"/>
    <w:rsid w:val="00BE7C18"/>
    <w:rsid w:val="00C746B9"/>
    <w:rsid w:val="00C8240A"/>
    <w:rsid w:val="00C86D27"/>
    <w:rsid w:val="00C87994"/>
    <w:rsid w:val="00CA41E6"/>
    <w:rsid w:val="00CA52C6"/>
    <w:rsid w:val="00CC3A83"/>
    <w:rsid w:val="00CE3B89"/>
    <w:rsid w:val="00D356FA"/>
    <w:rsid w:val="00D4259F"/>
    <w:rsid w:val="00D6486C"/>
    <w:rsid w:val="00D67B43"/>
    <w:rsid w:val="00D75FD1"/>
    <w:rsid w:val="00D90FFB"/>
    <w:rsid w:val="00DA3C43"/>
    <w:rsid w:val="00DB65F9"/>
    <w:rsid w:val="00DC6D16"/>
    <w:rsid w:val="00DE6557"/>
    <w:rsid w:val="00DF3A5B"/>
    <w:rsid w:val="00DF6823"/>
    <w:rsid w:val="00E23517"/>
    <w:rsid w:val="00E26D4B"/>
    <w:rsid w:val="00E26FDE"/>
    <w:rsid w:val="00E454EA"/>
    <w:rsid w:val="00E45B7E"/>
    <w:rsid w:val="00E86CF3"/>
    <w:rsid w:val="00E874BA"/>
    <w:rsid w:val="00E93284"/>
    <w:rsid w:val="00EA6F14"/>
    <w:rsid w:val="00EB6A6B"/>
    <w:rsid w:val="00EC1768"/>
    <w:rsid w:val="00EC317E"/>
    <w:rsid w:val="00EC7744"/>
    <w:rsid w:val="00EE51EF"/>
    <w:rsid w:val="00EF3B33"/>
    <w:rsid w:val="00F06900"/>
    <w:rsid w:val="00F258A7"/>
    <w:rsid w:val="00F46F7F"/>
    <w:rsid w:val="00F51700"/>
    <w:rsid w:val="00F51D9E"/>
    <w:rsid w:val="00F6229E"/>
    <w:rsid w:val="00F97386"/>
    <w:rsid w:val="00FD221E"/>
    <w:rsid w:val="00FD26D9"/>
    <w:rsid w:val="00FD7AF4"/>
    <w:rsid w:val="01355621"/>
    <w:rsid w:val="015D6393"/>
    <w:rsid w:val="01E63817"/>
    <w:rsid w:val="02AF3174"/>
    <w:rsid w:val="03701033"/>
    <w:rsid w:val="04081A47"/>
    <w:rsid w:val="08E13784"/>
    <w:rsid w:val="0DEB2B2A"/>
    <w:rsid w:val="0DF80726"/>
    <w:rsid w:val="0ECD6F72"/>
    <w:rsid w:val="10245CB9"/>
    <w:rsid w:val="10605745"/>
    <w:rsid w:val="10902B29"/>
    <w:rsid w:val="10BD35C7"/>
    <w:rsid w:val="10EB4D7F"/>
    <w:rsid w:val="110226FA"/>
    <w:rsid w:val="11EE7D79"/>
    <w:rsid w:val="1797690D"/>
    <w:rsid w:val="183710C7"/>
    <w:rsid w:val="19785A5B"/>
    <w:rsid w:val="19F455B5"/>
    <w:rsid w:val="1CA02059"/>
    <w:rsid w:val="1E0C3109"/>
    <w:rsid w:val="22B915B0"/>
    <w:rsid w:val="255B28DA"/>
    <w:rsid w:val="264520D7"/>
    <w:rsid w:val="282006E4"/>
    <w:rsid w:val="28884AA1"/>
    <w:rsid w:val="2CFD24CB"/>
    <w:rsid w:val="2EE04FC3"/>
    <w:rsid w:val="30D31097"/>
    <w:rsid w:val="317B1BCD"/>
    <w:rsid w:val="31F160B3"/>
    <w:rsid w:val="36E01197"/>
    <w:rsid w:val="384412E5"/>
    <w:rsid w:val="3A2345CB"/>
    <w:rsid w:val="3DD45FEA"/>
    <w:rsid w:val="42D96EB9"/>
    <w:rsid w:val="44E36014"/>
    <w:rsid w:val="45C66607"/>
    <w:rsid w:val="467C28B2"/>
    <w:rsid w:val="4A1421D8"/>
    <w:rsid w:val="4BA7122B"/>
    <w:rsid w:val="4E450DFE"/>
    <w:rsid w:val="4F9E15E0"/>
    <w:rsid w:val="4FEA2160"/>
    <w:rsid w:val="5199796C"/>
    <w:rsid w:val="546D6D0A"/>
    <w:rsid w:val="563F277C"/>
    <w:rsid w:val="567A5926"/>
    <w:rsid w:val="579C1CB9"/>
    <w:rsid w:val="5B7A2A7A"/>
    <w:rsid w:val="5CC671A4"/>
    <w:rsid w:val="5E4D5202"/>
    <w:rsid w:val="5F584F26"/>
    <w:rsid w:val="604E22E7"/>
    <w:rsid w:val="60E913E8"/>
    <w:rsid w:val="61090533"/>
    <w:rsid w:val="634B1629"/>
    <w:rsid w:val="642D52F3"/>
    <w:rsid w:val="6814167E"/>
    <w:rsid w:val="69D84D9E"/>
    <w:rsid w:val="6B443006"/>
    <w:rsid w:val="6B47278C"/>
    <w:rsid w:val="6C0E2555"/>
    <w:rsid w:val="719652B5"/>
    <w:rsid w:val="72E9649A"/>
    <w:rsid w:val="7348001E"/>
    <w:rsid w:val="75352021"/>
    <w:rsid w:val="779106B6"/>
    <w:rsid w:val="7A842B39"/>
    <w:rsid w:val="7B86707E"/>
    <w:rsid w:val="7BE50369"/>
    <w:rsid w:val="7E8867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0" w:semiHidden="0" w:name="Emphasis"/>
    <w:lsdException w:qFormat="1"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6"/>
    <w:semiHidden/>
    <w:unhideWhenUsed/>
    <w:qFormat/>
    <w:uiPriority w:val="9"/>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link w:val="3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1260"/>
      <w:jc w:val="left"/>
    </w:pPr>
    <w:rPr>
      <w:rFonts w:cstheme="minorHAnsi"/>
      <w:sz w:val="20"/>
      <w:szCs w:val="20"/>
    </w:rPr>
  </w:style>
  <w:style w:type="paragraph" w:styleId="6">
    <w:name w:val="Normal Indent"/>
    <w:basedOn w:val="1"/>
    <w:qFormat/>
    <w:uiPriority w:val="0"/>
    <w:pPr>
      <w:ind w:firstLine="420" w:firstLineChars="200"/>
    </w:pPr>
    <w:rPr>
      <w:szCs w:val="21"/>
    </w:rPr>
  </w:style>
  <w:style w:type="paragraph" w:styleId="7">
    <w:name w:val="Document Map"/>
    <w:basedOn w:val="1"/>
    <w:link w:val="42"/>
    <w:unhideWhenUsed/>
    <w:qFormat/>
    <w:uiPriority w:val="99"/>
    <w:rPr>
      <w:rFonts w:ascii="宋体" w:eastAsia="宋体"/>
      <w:sz w:val="18"/>
      <w:szCs w:val="18"/>
    </w:rPr>
  </w:style>
  <w:style w:type="paragraph" w:styleId="8">
    <w:name w:val="annotation text"/>
    <w:basedOn w:val="1"/>
    <w:link w:val="43"/>
    <w:unhideWhenUsed/>
    <w:qFormat/>
    <w:uiPriority w:val="0"/>
    <w:pPr>
      <w:jc w:val="left"/>
    </w:pPr>
  </w:style>
  <w:style w:type="paragraph" w:styleId="9">
    <w:name w:val="Body Text 3"/>
    <w:basedOn w:val="1"/>
    <w:link w:val="44"/>
    <w:qFormat/>
    <w:uiPriority w:val="0"/>
    <w:pPr>
      <w:spacing w:after="120"/>
    </w:pPr>
    <w:rPr>
      <w:rFonts w:ascii="Times New Roman" w:hAnsi="Times New Roman" w:eastAsia="宋体" w:cs="Times New Roman"/>
      <w:sz w:val="16"/>
      <w:szCs w:val="16"/>
    </w:rPr>
  </w:style>
  <w:style w:type="paragraph" w:styleId="10">
    <w:name w:val="Body Text"/>
    <w:basedOn w:val="1"/>
    <w:link w:val="45"/>
    <w:unhideWhenUsed/>
    <w:qFormat/>
    <w:uiPriority w:val="99"/>
    <w:pPr>
      <w:spacing w:after="120"/>
    </w:pPr>
  </w:style>
  <w:style w:type="paragraph" w:styleId="11">
    <w:name w:val="Body Text Indent"/>
    <w:basedOn w:val="1"/>
    <w:unhideWhenUsed/>
    <w:qFormat/>
    <w:uiPriority w:val="99"/>
    <w:pPr>
      <w:spacing w:after="120"/>
      <w:ind w:left="420" w:leftChars="200"/>
    </w:pPr>
  </w:style>
  <w:style w:type="paragraph" w:styleId="12">
    <w:name w:val="toc 5"/>
    <w:basedOn w:val="1"/>
    <w:next w:val="1"/>
    <w:unhideWhenUsed/>
    <w:qFormat/>
    <w:uiPriority w:val="39"/>
    <w:pPr>
      <w:ind w:left="840"/>
      <w:jc w:val="left"/>
    </w:pPr>
    <w:rPr>
      <w:rFonts w:cstheme="minorHAnsi"/>
      <w:sz w:val="20"/>
      <w:szCs w:val="20"/>
    </w:rPr>
  </w:style>
  <w:style w:type="paragraph" w:styleId="13">
    <w:name w:val="toc 3"/>
    <w:basedOn w:val="1"/>
    <w:next w:val="1"/>
    <w:unhideWhenUsed/>
    <w:qFormat/>
    <w:uiPriority w:val="39"/>
    <w:pPr>
      <w:ind w:left="420"/>
      <w:jc w:val="left"/>
    </w:pPr>
    <w:rPr>
      <w:rFonts w:cstheme="minorHAnsi"/>
      <w:sz w:val="20"/>
      <w:szCs w:val="20"/>
    </w:rPr>
  </w:style>
  <w:style w:type="paragraph" w:styleId="14">
    <w:name w:val="Plain Text"/>
    <w:basedOn w:val="1"/>
    <w:link w:val="67"/>
    <w:qFormat/>
    <w:uiPriority w:val="0"/>
    <w:rPr>
      <w:rFonts w:ascii="宋体" w:hAnsi="Courier New" w:cs="Courier New"/>
      <w:szCs w:val="21"/>
    </w:rPr>
  </w:style>
  <w:style w:type="paragraph" w:styleId="15">
    <w:name w:val="toc 8"/>
    <w:basedOn w:val="1"/>
    <w:next w:val="1"/>
    <w:unhideWhenUsed/>
    <w:qFormat/>
    <w:uiPriority w:val="39"/>
    <w:pPr>
      <w:ind w:left="1470"/>
      <w:jc w:val="left"/>
    </w:pPr>
    <w:rPr>
      <w:rFonts w:cstheme="minorHAnsi"/>
      <w:sz w:val="20"/>
      <w:szCs w:val="20"/>
    </w:rPr>
  </w:style>
  <w:style w:type="paragraph" w:styleId="16">
    <w:name w:val="Balloon Text"/>
    <w:basedOn w:val="1"/>
    <w:link w:val="46"/>
    <w:unhideWhenUsed/>
    <w:qFormat/>
    <w:uiPriority w:val="0"/>
    <w:rPr>
      <w:sz w:val="18"/>
      <w:szCs w:val="18"/>
    </w:rPr>
  </w:style>
  <w:style w:type="paragraph" w:styleId="17">
    <w:name w:val="footer"/>
    <w:basedOn w:val="1"/>
    <w:link w:val="38"/>
    <w:qFormat/>
    <w:uiPriority w:val="99"/>
    <w:pPr>
      <w:tabs>
        <w:tab w:val="center" w:pos="4153"/>
        <w:tab w:val="right" w:pos="8306"/>
      </w:tabs>
      <w:snapToGrid w:val="0"/>
      <w:jc w:val="left"/>
    </w:pPr>
    <w:rPr>
      <w:sz w:val="18"/>
      <w:szCs w:val="18"/>
    </w:rPr>
  </w:style>
  <w:style w:type="paragraph" w:styleId="18">
    <w:name w:val="header"/>
    <w:basedOn w:val="1"/>
    <w:link w:val="39"/>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pPr>
      <w:spacing w:before="240" w:after="120"/>
      <w:jc w:val="left"/>
    </w:pPr>
    <w:rPr>
      <w:rFonts w:cstheme="minorHAnsi"/>
      <w:b/>
      <w:bCs/>
      <w:sz w:val="20"/>
      <w:szCs w:val="20"/>
    </w:rPr>
  </w:style>
  <w:style w:type="paragraph" w:styleId="20">
    <w:name w:val="toc 4"/>
    <w:basedOn w:val="1"/>
    <w:next w:val="1"/>
    <w:unhideWhenUsed/>
    <w:qFormat/>
    <w:uiPriority w:val="39"/>
    <w:pPr>
      <w:ind w:left="630"/>
      <w:jc w:val="left"/>
    </w:pPr>
    <w:rPr>
      <w:rFonts w:cstheme="minorHAnsi"/>
      <w:sz w:val="20"/>
      <w:szCs w:val="20"/>
    </w:rPr>
  </w:style>
  <w:style w:type="paragraph" w:styleId="21">
    <w:name w:val="toc 6"/>
    <w:basedOn w:val="1"/>
    <w:next w:val="1"/>
    <w:unhideWhenUsed/>
    <w:qFormat/>
    <w:uiPriority w:val="39"/>
    <w:pPr>
      <w:ind w:left="1050"/>
      <w:jc w:val="left"/>
    </w:pPr>
    <w:rPr>
      <w:rFonts w:cstheme="minorHAnsi"/>
      <w:sz w:val="20"/>
      <w:szCs w:val="20"/>
    </w:rPr>
  </w:style>
  <w:style w:type="paragraph" w:styleId="22">
    <w:name w:val="toc 2"/>
    <w:basedOn w:val="1"/>
    <w:next w:val="1"/>
    <w:unhideWhenUsed/>
    <w:qFormat/>
    <w:uiPriority w:val="39"/>
    <w:pPr>
      <w:spacing w:before="120"/>
      <w:ind w:left="210"/>
      <w:jc w:val="left"/>
    </w:pPr>
    <w:rPr>
      <w:rFonts w:cstheme="minorHAnsi"/>
      <w:i/>
      <w:iCs/>
      <w:sz w:val="20"/>
      <w:szCs w:val="20"/>
    </w:rPr>
  </w:style>
  <w:style w:type="paragraph" w:styleId="23">
    <w:name w:val="toc 9"/>
    <w:basedOn w:val="1"/>
    <w:next w:val="1"/>
    <w:unhideWhenUsed/>
    <w:qFormat/>
    <w:uiPriority w:val="39"/>
    <w:pPr>
      <w:ind w:left="1680"/>
      <w:jc w:val="left"/>
    </w:pPr>
    <w:rPr>
      <w:rFonts w:cstheme="minorHAnsi"/>
      <w:sz w:val="20"/>
      <w:szCs w:val="20"/>
    </w:rPr>
  </w:style>
  <w:style w:type="paragraph" w:styleId="2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2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6">
    <w:name w:val="annotation subject"/>
    <w:basedOn w:val="8"/>
    <w:next w:val="8"/>
    <w:link w:val="47"/>
    <w:unhideWhenUsed/>
    <w:qFormat/>
    <w:uiPriority w:val="0"/>
    <w:rPr>
      <w:b/>
      <w:bCs/>
    </w:rPr>
  </w:style>
  <w:style w:type="paragraph" w:styleId="27">
    <w:name w:val="Body Text First Indent 2"/>
    <w:basedOn w:val="11"/>
    <w:qFormat/>
    <w:uiPriority w:val="99"/>
    <w:pPr>
      <w:ind w:firstLine="420" w:firstLineChars="200"/>
    </w:pPr>
    <w:rPr>
      <w:rFonts w:ascii="Times New Roman" w:hAnsi="Times New Roman" w:eastAsia="宋体" w:cs="Times New Roman"/>
    </w:rPr>
  </w:style>
  <w:style w:type="table" w:styleId="29">
    <w:name w:val="Table Grid"/>
    <w:basedOn w:val="28"/>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22"/>
    <w:rPr>
      <w:b/>
      <w:bCs/>
    </w:rPr>
  </w:style>
  <w:style w:type="character" w:styleId="32">
    <w:name w:val="Emphasis"/>
    <w:qFormat/>
    <w:uiPriority w:val="0"/>
    <w:rPr>
      <w:rFonts w:ascii="Tahoma" w:hAnsi="Tahoma" w:eastAsia="宋体"/>
      <w:snapToGrid/>
      <w:color w:val="auto"/>
      <w:kern w:val="2"/>
      <w:sz w:val="28"/>
      <w:lang w:val="en-US" w:eastAsia="zh-CN" w:bidi="ar-SA"/>
    </w:rPr>
  </w:style>
  <w:style w:type="character" w:styleId="33">
    <w:name w:val="Hyperlink"/>
    <w:qFormat/>
    <w:uiPriority w:val="99"/>
    <w:rPr>
      <w:color w:val="0000FF"/>
      <w:u w:val="single"/>
    </w:rPr>
  </w:style>
  <w:style w:type="character" w:styleId="34">
    <w:name w:val="annotation reference"/>
    <w:basedOn w:val="30"/>
    <w:unhideWhenUsed/>
    <w:qFormat/>
    <w:uiPriority w:val="99"/>
    <w:rPr>
      <w:sz w:val="21"/>
      <w:szCs w:val="21"/>
    </w:rPr>
  </w:style>
  <w:style w:type="character" w:customStyle="1" w:styleId="35">
    <w:name w:val="标题 1 字符"/>
    <w:basedOn w:val="30"/>
    <w:link w:val="2"/>
    <w:qFormat/>
    <w:uiPriority w:val="9"/>
    <w:rPr>
      <w:b/>
      <w:bCs/>
      <w:kern w:val="44"/>
      <w:sz w:val="44"/>
      <w:szCs w:val="44"/>
    </w:rPr>
  </w:style>
  <w:style w:type="character" w:customStyle="1" w:styleId="36">
    <w:name w:val="标题 2 字符"/>
    <w:basedOn w:val="30"/>
    <w:link w:val="3"/>
    <w:semiHidden/>
    <w:qFormat/>
    <w:uiPriority w:val="9"/>
    <w:rPr>
      <w:rFonts w:ascii="宋体" w:hAnsi="宋体" w:eastAsia="宋体" w:cs="Times New Roman"/>
      <w:b/>
      <w:bCs/>
      <w:kern w:val="0"/>
      <w:sz w:val="36"/>
      <w:szCs w:val="36"/>
    </w:rPr>
  </w:style>
  <w:style w:type="character" w:customStyle="1" w:styleId="37">
    <w:name w:val="标题 3 字符"/>
    <w:basedOn w:val="30"/>
    <w:link w:val="4"/>
    <w:qFormat/>
    <w:uiPriority w:val="9"/>
    <w:rPr>
      <w:rFonts w:ascii="宋体" w:hAnsi="宋体" w:eastAsia="宋体" w:cs="宋体"/>
      <w:b/>
      <w:bCs/>
      <w:kern w:val="0"/>
      <w:sz w:val="27"/>
      <w:szCs w:val="27"/>
    </w:rPr>
  </w:style>
  <w:style w:type="character" w:customStyle="1" w:styleId="38">
    <w:name w:val="页脚 字符"/>
    <w:basedOn w:val="30"/>
    <w:link w:val="17"/>
    <w:qFormat/>
    <w:uiPriority w:val="99"/>
    <w:rPr>
      <w:sz w:val="18"/>
      <w:szCs w:val="18"/>
    </w:rPr>
  </w:style>
  <w:style w:type="character" w:customStyle="1" w:styleId="39">
    <w:name w:val="页眉 字符"/>
    <w:basedOn w:val="30"/>
    <w:link w:val="18"/>
    <w:qFormat/>
    <w:uiPriority w:val="99"/>
    <w:rPr>
      <w:sz w:val="18"/>
      <w:szCs w:val="18"/>
    </w:rPr>
  </w:style>
  <w:style w:type="character" w:customStyle="1" w:styleId="40">
    <w:name w:val="font51"/>
    <w:basedOn w:val="30"/>
    <w:qFormat/>
    <w:uiPriority w:val="0"/>
    <w:rPr>
      <w:rFonts w:ascii="Calibri" w:hAnsi="Calibri" w:cs="Calibri"/>
      <w:b/>
      <w:color w:val="000000"/>
      <w:sz w:val="22"/>
      <w:szCs w:val="22"/>
      <w:u w:val="none"/>
    </w:rPr>
  </w:style>
  <w:style w:type="character" w:customStyle="1" w:styleId="41">
    <w:name w:val="font61"/>
    <w:basedOn w:val="30"/>
    <w:qFormat/>
    <w:uiPriority w:val="0"/>
    <w:rPr>
      <w:rFonts w:hint="eastAsia" w:ascii="宋体" w:hAnsi="宋体" w:eastAsia="宋体" w:cs="宋体"/>
      <w:b/>
      <w:color w:val="000000"/>
      <w:sz w:val="22"/>
      <w:szCs w:val="22"/>
      <w:u w:val="none"/>
    </w:rPr>
  </w:style>
  <w:style w:type="character" w:customStyle="1" w:styleId="42">
    <w:name w:val="文档结构图 字符"/>
    <w:basedOn w:val="30"/>
    <w:link w:val="7"/>
    <w:qFormat/>
    <w:uiPriority w:val="99"/>
    <w:rPr>
      <w:rFonts w:ascii="宋体" w:eastAsia="宋体"/>
      <w:sz w:val="18"/>
      <w:szCs w:val="18"/>
    </w:rPr>
  </w:style>
  <w:style w:type="character" w:customStyle="1" w:styleId="43">
    <w:name w:val="批注文字 字符"/>
    <w:basedOn w:val="30"/>
    <w:link w:val="8"/>
    <w:qFormat/>
    <w:uiPriority w:val="0"/>
  </w:style>
  <w:style w:type="character" w:customStyle="1" w:styleId="44">
    <w:name w:val="正文文本 3 字符"/>
    <w:basedOn w:val="30"/>
    <w:link w:val="9"/>
    <w:qFormat/>
    <w:uiPriority w:val="0"/>
    <w:rPr>
      <w:rFonts w:ascii="Times New Roman" w:hAnsi="Times New Roman" w:eastAsia="宋体" w:cs="Times New Roman"/>
      <w:sz w:val="16"/>
      <w:szCs w:val="16"/>
    </w:rPr>
  </w:style>
  <w:style w:type="character" w:customStyle="1" w:styleId="45">
    <w:name w:val="正文文本 字符"/>
    <w:basedOn w:val="30"/>
    <w:link w:val="10"/>
    <w:qFormat/>
    <w:uiPriority w:val="99"/>
  </w:style>
  <w:style w:type="character" w:customStyle="1" w:styleId="46">
    <w:name w:val="批注框文本 字符"/>
    <w:basedOn w:val="30"/>
    <w:link w:val="16"/>
    <w:qFormat/>
    <w:uiPriority w:val="0"/>
    <w:rPr>
      <w:sz w:val="18"/>
      <w:szCs w:val="18"/>
    </w:rPr>
  </w:style>
  <w:style w:type="character" w:customStyle="1" w:styleId="47">
    <w:name w:val="批注主题 字符"/>
    <w:basedOn w:val="43"/>
    <w:link w:val="26"/>
    <w:qFormat/>
    <w:uiPriority w:val="0"/>
    <w:rPr>
      <w:b/>
      <w:bCs/>
    </w:rPr>
  </w:style>
  <w:style w:type="character" w:customStyle="1" w:styleId="48">
    <w:name w:val="正文缩进2格 Char"/>
    <w:link w:val="49"/>
    <w:qFormat/>
    <w:uiPriority w:val="0"/>
    <w:rPr>
      <w:rFonts w:ascii="仿宋_GB2312" w:hAnsi="宋体" w:eastAsia="仿宋_GB2312"/>
      <w:sz w:val="31"/>
      <w:szCs w:val="28"/>
    </w:rPr>
  </w:style>
  <w:style w:type="paragraph" w:customStyle="1" w:styleId="49">
    <w:name w:val="正文缩进2格"/>
    <w:basedOn w:val="1"/>
    <w:link w:val="48"/>
    <w:qFormat/>
    <w:uiPriority w:val="0"/>
    <w:pPr>
      <w:spacing w:after="120" w:line="600" w:lineRule="exact"/>
      <w:ind w:firstLine="639" w:firstLineChars="206"/>
    </w:pPr>
    <w:rPr>
      <w:rFonts w:ascii="仿宋_GB2312" w:hAnsi="宋体" w:eastAsia="仿宋_GB2312"/>
      <w:sz w:val="31"/>
      <w:szCs w:val="28"/>
    </w:rPr>
  </w:style>
  <w:style w:type="character" w:customStyle="1" w:styleId="50">
    <w:name w:val="fontblue"/>
    <w:basedOn w:val="30"/>
    <w:qFormat/>
    <w:uiPriority w:val="0"/>
  </w:style>
  <w:style w:type="character" w:customStyle="1" w:styleId="51">
    <w:name w:val="表正文 Char"/>
    <w:qFormat/>
    <w:uiPriority w:val="0"/>
    <w:rPr>
      <w:rFonts w:eastAsia="仿宋_GB2312"/>
      <w:kern w:val="2"/>
      <w:sz w:val="30"/>
      <w:lang w:val="en-US" w:eastAsia="zh-CN" w:bidi="ar-SA"/>
    </w:rPr>
  </w:style>
  <w:style w:type="paragraph" w:customStyle="1" w:styleId="52">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53">
    <w:name w:val="无间隔1"/>
    <w:qFormat/>
    <w:uiPriority w:val="0"/>
    <w:rPr>
      <w:rFonts w:ascii="Times New Roman" w:hAnsi="Times New Roman" w:eastAsia="宋体" w:cs="Times New Roman"/>
      <w:sz w:val="22"/>
      <w:szCs w:val="22"/>
      <w:lang w:val="en-GB" w:eastAsia="zh-CN" w:bidi="ar-SA"/>
    </w:rPr>
  </w:style>
  <w:style w:type="paragraph" w:customStyle="1" w:styleId="54">
    <w:name w:val="修订1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55">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styleId="56">
    <w:name w:val="List Paragraph"/>
    <w:basedOn w:val="1"/>
    <w:qFormat/>
    <w:uiPriority w:val="34"/>
    <w:pPr>
      <w:ind w:firstLine="420" w:firstLineChars="200"/>
    </w:pPr>
  </w:style>
  <w:style w:type="character" w:customStyle="1" w:styleId="57">
    <w:name w:val="17"/>
    <w:basedOn w:val="30"/>
    <w:qFormat/>
    <w:uiPriority w:val="0"/>
    <w:rPr>
      <w:rFonts w:hint="default" w:ascii="Tahoma" w:hAnsi="Tahoma" w:eastAsia="宋体" w:cs="Tahoma"/>
      <w:kern w:val="2"/>
      <w:sz w:val="28"/>
      <w:szCs w:val="28"/>
    </w:rPr>
  </w:style>
  <w:style w:type="character" w:customStyle="1" w:styleId="58">
    <w:name w:val="15"/>
    <w:basedOn w:val="30"/>
    <w:qFormat/>
    <w:uiPriority w:val="0"/>
    <w:rPr>
      <w:rFonts w:hint="default" w:ascii="Times New Roman" w:hAnsi="Times New Roman" w:cs="Times New Roman"/>
      <w:color w:val="0000FF"/>
      <w:u w:val="single"/>
    </w:rPr>
  </w:style>
  <w:style w:type="character" w:customStyle="1" w:styleId="59">
    <w:name w:val="16"/>
    <w:basedOn w:val="30"/>
    <w:qFormat/>
    <w:uiPriority w:val="0"/>
    <w:rPr>
      <w:rFonts w:hint="default" w:ascii="Times New Roman" w:hAnsi="Times New Roman" w:cs="Times New Roman"/>
      <w:sz w:val="21"/>
      <w:szCs w:val="21"/>
    </w:rPr>
  </w:style>
  <w:style w:type="paragraph" w:customStyle="1" w:styleId="60">
    <w:name w:val="图"/>
    <w:basedOn w:val="1"/>
    <w:qFormat/>
    <w:uiPriority w:val="0"/>
    <w:pPr>
      <w:keepNext/>
      <w:adjustRightInd w:val="0"/>
      <w:spacing w:before="60" w:after="60" w:line="300" w:lineRule="auto"/>
      <w:jc w:val="center"/>
      <w:textAlignment w:val="center"/>
    </w:pPr>
    <w:rPr>
      <w:rFonts w:ascii="Calibri" w:hAnsi="Calibri" w:eastAsia="宋体" w:cs="Times New Roman"/>
      <w:snapToGrid w:val="0"/>
      <w:spacing w:val="20"/>
      <w:kern w:val="0"/>
      <w:sz w:val="24"/>
      <w:szCs w:val="20"/>
    </w:rPr>
  </w:style>
  <w:style w:type="paragraph" w:customStyle="1" w:styleId="61">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62">
    <w:name w:val="null3"/>
    <w:hidden/>
    <w:qFormat/>
    <w:uiPriority w:val="0"/>
    <w:rPr>
      <w:rFonts w:hint="eastAsia" w:asciiTheme="minorHAnsi" w:hAnsiTheme="minorHAnsi" w:eastAsiaTheme="minorEastAsia" w:cstheme="minorBidi"/>
      <w:lang w:val="en-US" w:eastAsia="zh-Hans" w:bidi="ar-SA"/>
    </w:rPr>
  </w:style>
  <w:style w:type="paragraph" w:customStyle="1" w:styleId="63">
    <w:name w:val="附录标题"/>
    <w:next w:val="1"/>
    <w:qFormat/>
    <w:uiPriority w:val="0"/>
    <w:pPr>
      <w:widowControl w:val="0"/>
      <w:adjustRightInd w:val="0"/>
      <w:spacing w:before="100" w:after="100" w:line="360" w:lineRule="auto"/>
      <w:jc w:val="both"/>
      <w:outlineLvl w:val="0"/>
    </w:pPr>
    <w:rPr>
      <w:rFonts w:ascii="Times New Roman" w:hAnsi="Times New Roman" w:eastAsia="黑体" w:cs="Times New Roman"/>
      <w:color w:val="000000"/>
      <w:kern w:val="44"/>
      <w:sz w:val="36"/>
      <w:szCs w:val="44"/>
      <w:lang w:val="en-US" w:eastAsia="zh-CN" w:bidi="ar-SA"/>
    </w:rPr>
  </w:style>
  <w:style w:type="paragraph" w:customStyle="1" w:styleId="64">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65">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66">
    <w:name w:val="修订5"/>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67">
    <w:name w:val="纯文本 字符"/>
    <w:basedOn w:val="30"/>
    <w:link w:val="14"/>
    <w:qFormat/>
    <w:uiPriority w:val="0"/>
    <w:rPr>
      <w:rFonts w:ascii="宋体" w:hAnsi="Courier New" w:cs="Courier New" w:eastAsiaTheme="minorEastAsia"/>
      <w:kern w:val="2"/>
      <w:sz w:val="21"/>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941563-8528-4EE6-9058-345A3E308B12}">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30</Pages>
  <Words>8086</Words>
  <Characters>9390</Characters>
  <Lines>128</Lines>
  <Paragraphs>36</Paragraphs>
  <TotalTime>1</TotalTime>
  <ScaleCrop>false</ScaleCrop>
  <LinksUpToDate>false</LinksUpToDate>
  <CharactersWithSpaces>9521</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2025-03-20T09:35:00Z</dcterms:created>
  <dc:creator>lys</dc:creator>
  <cp:lastModifiedBy>在沙漠听海</cp:lastModifiedBy>
  <dcterms:modified xsi:type="dcterms:W3CDTF">2026-10-08T09:20:47Z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eyJoZGlkIjoiNzYyNjgwMWNjMjMwZmMzMjhjYjZhMzdhMGFmZDg1OTIiLCJ1c2VySWQiOiI2NzM4MTEzOTkifQ==</vt:lpwstr>
  </property>
  <property fmtid="{D5CDD505-2E9C-101B-9397-08002B2CF9AE}" pid="3" name="KSOProductBuildVer">
    <vt:lpwstr>2052-11.8.6.11825</vt:lpwstr>
  </property>
  <property fmtid="{D5CDD505-2E9C-101B-9397-08002B2CF9AE}" pid="4" name="ICV">
    <vt:lpwstr>A2965E4A6C2A43208BD9EA97E6642EED</vt:lpwstr>
  </property>
</Properties>
</file>